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0B8F6F">
      <w:pPr>
        <w:keepNext w:val="0"/>
        <w:keepLines w:val="0"/>
        <w:widowControl/>
        <w:suppressLineNumbers w:val="0"/>
        <w:jc w:val="center"/>
        <w:rPr>
          <w:rFonts w:hint="eastAsia" w:ascii="仿宋_GB2312" w:hAnsi="仿宋_GB2312" w:eastAsia="仿宋_GB2312" w:cs="仿宋_GB2312"/>
          <w:b/>
          <w:bCs/>
          <w:color w:val="auto"/>
          <w:kern w:val="0"/>
          <w:sz w:val="32"/>
          <w:szCs w:val="32"/>
          <w:highlight w:val="none"/>
          <w:lang w:val="en-US" w:eastAsia="zh-CN" w:bidi="ar"/>
        </w:rPr>
      </w:pPr>
      <w:r>
        <w:rPr>
          <w:rFonts w:hint="eastAsia" w:ascii="仿宋_GB2312" w:hAnsi="仿宋_GB2312" w:eastAsia="仿宋_GB2312" w:cs="仿宋_GB2312"/>
          <w:b/>
          <w:bCs/>
          <w:color w:val="auto"/>
          <w:kern w:val="0"/>
          <w:sz w:val="32"/>
          <w:szCs w:val="32"/>
          <w:highlight w:val="none"/>
          <w:lang w:val="en-US" w:eastAsia="zh-CN" w:bidi="ar"/>
        </w:rPr>
        <w:t>遵义市传染病医院(遵义市第四人民医院)污水处理设施运营托管服务项目需求</w:t>
      </w:r>
    </w:p>
    <w:p w14:paraId="7B282B35">
      <w:pPr>
        <w:keepNext w:val="0"/>
        <w:keepLines w:val="0"/>
        <w:widowControl/>
        <w:suppressLineNumbers w:val="0"/>
        <w:ind w:firstLine="402" w:firstLineChars="200"/>
        <w:jc w:val="left"/>
        <w:rPr>
          <w:rFonts w:hint="eastAsia" w:ascii="宋体" w:hAnsi="宋体" w:eastAsia="宋体" w:cs="宋体"/>
          <w:b/>
          <w:bCs/>
          <w:color w:val="auto"/>
          <w:kern w:val="0"/>
          <w:sz w:val="20"/>
          <w:szCs w:val="20"/>
          <w:highlight w:val="none"/>
          <w:lang w:val="en-US" w:eastAsia="zh-CN" w:bidi="ar"/>
        </w:rPr>
      </w:pPr>
    </w:p>
    <w:p w14:paraId="11148ED2">
      <w:pPr>
        <w:numPr>
          <w:ilvl w:val="0"/>
          <w:numId w:val="1"/>
        </w:numPr>
        <w:spacing w:line="360" w:lineRule="auto"/>
        <w:jc w:val="both"/>
        <w:outlineLvl w:val="0"/>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lang w:val="en-US" w:eastAsia="zh-CN"/>
        </w:rPr>
        <w:t>水量</w:t>
      </w:r>
    </w:p>
    <w:p w14:paraId="4658D79F">
      <w:pPr>
        <w:numPr>
          <w:ilvl w:val="0"/>
          <w:numId w:val="0"/>
        </w:numPr>
        <w:spacing w:line="360" w:lineRule="auto"/>
        <w:ind w:firstLine="480" w:firstLineChars="200"/>
        <w:jc w:val="both"/>
        <w:outlineLvl w:val="9"/>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新院区每天处理400吨(400吨/天)</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lang w:val="en-US" w:eastAsia="zh-CN"/>
        </w:rPr>
        <w:t>新院传染病区（二期）</w:t>
      </w:r>
      <w:r>
        <w:rPr>
          <w:rFonts w:hint="eastAsia" w:ascii="宋体" w:hAnsi="宋体" w:eastAsia="宋体" w:cs="宋体"/>
          <w:b w:val="0"/>
          <w:bCs/>
          <w:color w:val="auto"/>
          <w:sz w:val="24"/>
          <w:szCs w:val="24"/>
          <w:highlight w:val="none"/>
        </w:rPr>
        <w:t>每天处理</w:t>
      </w:r>
      <w:r>
        <w:rPr>
          <w:rFonts w:hint="eastAsia" w:ascii="宋体" w:hAnsi="宋体" w:eastAsia="宋体" w:cs="宋体"/>
          <w:b w:val="0"/>
          <w:bCs/>
          <w:color w:val="auto"/>
          <w:sz w:val="24"/>
          <w:szCs w:val="24"/>
          <w:highlight w:val="none"/>
          <w:lang w:val="en-US" w:eastAsia="zh-CN"/>
        </w:rPr>
        <w:t>20</w:t>
      </w:r>
      <w:r>
        <w:rPr>
          <w:rFonts w:hint="eastAsia" w:ascii="宋体" w:hAnsi="宋体" w:eastAsia="宋体" w:cs="宋体"/>
          <w:b w:val="0"/>
          <w:bCs/>
          <w:color w:val="auto"/>
          <w:sz w:val="24"/>
          <w:szCs w:val="24"/>
          <w:highlight w:val="none"/>
        </w:rPr>
        <w:t>吨(</w:t>
      </w:r>
      <w:r>
        <w:rPr>
          <w:rFonts w:hint="eastAsia" w:ascii="宋体" w:hAnsi="宋体" w:eastAsia="宋体" w:cs="宋体"/>
          <w:b w:val="0"/>
          <w:bCs/>
          <w:color w:val="auto"/>
          <w:sz w:val="24"/>
          <w:szCs w:val="24"/>
          <w:highlight w:val="none"/>
          <w:lang w:val="en-US" w:eastAsia="zh-CN"/>
        </w:rPr>
        <w:t>20</w:t>
      </w:r>
      <w:r>
        <w:rPr>
          <w:rFonts w:hint="eastAsia" w:ascii="宋体" w:hAnsi="宋体" w:eastAsia="宋体" w:cs="宋体"/>
          <w:b w:val="0"/>
          <w:bCs/>
          <w:color w:val="auto"/>
          <w:sz w:val="24"/>
          <w:szCs w:val="24"/>
          <w:highlight w:val="none"/>
        </w:rPr>
        <w:t>吨/天)</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rPr>
        <w:t>舟水桥院区每天处理</w:t>
      </w:r>
      <w:r>
        <w:rPr>
          <w:rFonts w:hint="eastAsia" w:ascii="宋体" w:hAnsi="宋体" w:eastAsia="宋体" w:cs="宋体"/>
          <w:b w:val="0"/>
          <w:bCs/>
          <w:color w:val="auto"/>
          <w:sz w:val="24"/>
          <w:szCs w:val="24"/>
          <w:highlight w:val="none"/>
          <w:lang w:val="en-US" w:eastAsia="zh-CN"/>
        </w:rPr>
        <w:t>60</w:t>
      </w:r>
      <w:r>
        <w:rPr>
          <w:rFonts w:hint="eastAsia" w:ascii="宋体" w:hAnsi="宋体" w:eastAsia="宋体" w:cs="宋体"/>
          <w:b w:val="0"/>
          <w:bCs/>
          <w:color w:val="auto"/>
          <w:sz w:val="24"/>
          <w:szCs w:val="24"/>
          <w:highlight w:val="none"/>
        </w:rPr>
        <w:t>吨(</w:t>
      </w:r>
      <w:r>
        <w:rPr>
          <w:rFonts w:hint="eastAsia" w:ascii="宋体" w:hAnsi="宋体" w:eastAsia="宋体" w:cs="宋体"/>
          <w:b w:val="0"/>
          <w:bCs/>
          <w:color w:val="auto"/>
          <w:sz w:val="24"/>
          <w:szCs w:val="24"/>
          <w:highlight w:val="none"/>
          <w:lang w:val="en-US" w:eastAsia="zh-CN"/>
        </w:rPr>
        <w:t>60</w:t>
      </w:r>
      <w:r>
        <w:rPr>
          <w:rFonts w:hint="eastAsia" w:ascii="宋体" w:hAnsi="宋体" w:eastAsia="宋体" w:cs="宋体"/>
          <w:b w:val="0"/>
          <w:bCs/>
          <w:color w:val="auto"/>
          <w:sz w:val="24"/>
          <w:szCs w:val="24"/>
          <w:highlight w:val="none"/>
        </w:rPr>
        <w:t>吨/天)，虾子院区每天处理10吨(10吨/天)。</w:t>
      </w:r>
    </w:p>
    <w:p w14:paraId="7E05876A">
      <w:pPr>
        <w:numPr>
          <w:ilvl w:val="0"/>
          <w:numId w:val="1"/>
        </w:numPr>
        <w:spacing w:line="360" w:lineRule="auto"/>
        <w:ind w:left="0" w:leftChars="0" w:firstLine="0" w:firstLineChars="0"/>
        <w:jc w:val="both"/>
        <w:outlineLvl w:val="0"/>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lang w:val="en-US" w:eastAsia="zh-CN"/>
        </w:rPr>
        <w:t>处理排放要</w:t>
      </w:r>
      <w:r>
        <w:rPr>
          <w:rFonts w:hint="eastAsia" w:ascii="黑体" w:hAnsi="黑体" w:eastAsia="黑体" w:cs="黑体"/>
          <w:b w:val="0"/>
          <w:bCs/>
          <w:color w:val="auto"/>
          <w:sz w:val="28"/>
          <w:szCs w:val="28"/>
          <w:highlight w:val="none"/>
        </w:rPr>
        <w:t>求</w:t>
      </w:r>
    </w:p>
    <w:p w14:paraId="4B03006F">
      <w:pPr>
        <w:numPr>
          <w:ilvl w:val="0"/>
          <w:numId w:val="0"/>
        </w:numPr>
        <w:spacing w:line="360" w:lineRule="auto"/>
        <w:ind w:leftChars="0" w:firstLine="480" w:firstLineChars="200"/>
        <w:jc w:val="both"/>
        <w:outlineLvl w:val="9"/>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现有设施</w:t>
      </w:r>
      <w:r>
        <w:rPr>
          <w:rFonts w:hint="eastAsia" w:ascii="宋体" w:hAnsi="宋体" w:eastAsia="宋体" w:cs="宋体"/>
          <w:b w:val="0"/>
          <w:bCs/>
          <w:color w:val="auto"/>
          <w:sz w:val="24"/>
          <w:szCs w:val="24"/>
          <w:highlight w:val="none"/>
          <w:lang w:val="en-US" w:eastAsia="zh-CN"/>
        </w:rPr>
        <w:t>均</w:t>
      </w:r>
      <w:r>
        <w:rPr>
          <w:rFonts w:hint="eastAsia" w:ascii="宋体" w:hAnsi="宋体" w:eastAsia="宋体" w:cs="宋体"/>
          <w:b w:val="0"/>
          <w:bCs/>
          <w:color w:val="auto"/>
          <w:sz w:val="24"/>
          <w:szCs w:val="24"/>
          <w:highlight w:val="none"/>
        </w:rPr>
        <w:t>达到国家《医疗机构水污染物排放标准》(GB18466-2005)预处理排放标准。</w:t>
      </w:r>
    </w:p>
    <w:p w14:paraId="2771CBD6">
      <w:pPr>
        <w:bidi w:val="0"/>
        <w:jc w:val="center"/>
        <w:rPr>
          <w:rFonts w:hint="eastAsia" w:eastAsiaTheme="minorEastAsia"/>
          <w:color w:val="auto"/>
          <w:sz w:val="22"/>
          <w:szCs w:val="24"/>
          <w:highlight w:val="none"/>
          <w:lang w:val="en-US" w:eastAsia="zh-CN"/>
        </w:rPr>
      </w:pPr>
      <w:r>
        <w:rPr>
          <w:rFonts w:hint="default"/>
          <w:color w:val="auto"/>
          <w:sz w:val="22"/>
          <w:szCs w:val="24"/>
          <w:highlight w:val="none"/>
        </w:rPr>
        <w:t>污水处理站出水水质</w:t>
      </w:r>
      <w:r>
        <w:rPr>
          <w:rFonts w:hint="eastAsia"/>
          <w:color w:val="auto"/>
          <w:sz w:val="22"/>
          <w:szCs w:val="24"/>
          <w:highlight w:val="none"/>
          <w:lang w:val="en-US" w:eastAsia="zh-CN"/>
        </w:rPr>
        <w:t>标准</w:t>
      </w:r>
    </w:p>
    <w:tbl>
      <w:tblPr>
        <w:tblStyle w:val="6"/>
        <w:tblpPr w:leftFromText="180" w:rightFromText="180" w:vertAnchor="text" w:horzAnchor="page" w:tblpX="1610" w:tblpY="162"/>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6"/>
        <w:gridCol w:w="1385"/>
        <w:gridCol w:w="1361"/>
        <w:gridCol w:w="1229"/>
        <w:gridCol w:w="238"/>
        <w:gridCol w:w="900"/>
        <w:gridCol w:w="1313"/>
      </w:tblGrid>
      <w:tr w14:paraId="4D8DE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1229" w:type="pct"/>
            <w:tcBorders>
              <w:top w:val="single" w:color="4BACC6" w:sz="8" w:space="0"/>
              <w:left w:val="single" w:color="4BACC6" w:sz="8" w:space="0"/>
              <w:bottom w:val="single" w:color="4BACC6" w:sz="8" w:space="0"/>
              <w:right w:val="single" w:color="4BACC6" w:sz="8" w:space="0"/>
            </w:tcBorders>
            <w:shd w:val="clear" w:color="auto" w:fill="4BACC6"/>
            <w:noWrap/>
            <w:vAlign w:val="center"/>
          </w:tcPr>
          <w:p w14:paraId="724E73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污染物类别</w:t>
            </w:r>
          </w:p>
          <w:p w14:paraId="3D942B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（单位）</w:t>
            </w:r>
          </w:p>
        </w:tc>
        <w:tc>
          <w:tcPr>
            <w:tcW w:w="813" w:type="pct"/>
            <w:tcBorders>
              <w:top w:val="single" w:color="4BACC6" w:sz="8" w:space="0"/>
              <w:left w:val="single" w:color="4BACC6" w:sz="8" w:space="0"/>
              <w:bottom w:val="single" w:color="4BACC6" w:sz="8" w:space="0"/>
              <w:right w:val="single" w:color="4BACC6" w:sz="8" w:space="0"/>
            </w:tcBorders>
            <w:shd w:val="clear" w:color="auto" w:fill="4BACC6"/>
            <w:noWrap/>
            <w:vAlign w:val="center"/>
          </w:tcPr>
          <w:p w14:paraId="6EC789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化学需氧量</w:t>
            </w:r>
          </w:p>
          <w:p w14:paraId="7EEE4C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（CODCr）</w:t>
            </w:r>
          </w:p>
        </w:tc>
        <w:tc>
          <w:tcPr>
            <w:tcW w:w="798" w:type="pct"/>
            <w:tcBorders>
              <w:top w:val="single" w:color="4BACC6" w:sz="8" w:space="0"/>
              <w:left w:val="single" w:color="4BACC6" w:sz="8" w:space="0"/>
              <w:bottom w:val="single" w:color="4BACC6" w:sz="8" w:space="0"/>
              <w:right w:val="single" w:color="4BACC6" w:sz="8" w:space="0"/>
            </w:tcBorders>
            <w:shd w:val="clear" w:color="auto" w:fill="4BACC6"/>
            <w:noWrap/>
            <w:vAlign w:val="center"/>
          </w:tcPr>
          <w:p w14:paraId="7772FB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生化需氧量</w:t>
            </w:r>
          </w:p>
          <w:p w14:paraId="471793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（BOD</w:t>
            </w:r>
            <w:r>
              <w:rPr>
                <w:rFonts w:hint="default" w:ascii="Times New Roman" w:hAnsi="Times New Roman" w:eastAsia="宋体" w:cs="Times New Roman"/>
                <w:color w:val="auto"/>
                <w:sz w:val="21"/>
                <w:szCs w:val="21"/>
                <w:highlight w:val="none"/>
                <w:vertAlign w:val="subscript"/>
              </w:rPr>
              <w:t>5</w:t>
            </w:r>
            <w:r>
              <w:rPr>
                <w:rFonts w:hint="default" w:ascii="Times New Roman" w:hAnsi="Times New Roman" w:eastAsia="宋体" w:cs="Times New Roman"/>
                <w:color w:val="auto"/>
                <w:sz w:val="21"/>
                <w:szCs w:val="21"/>
                <w:highlight w:val="none"/>
              </w:rPr>
              <w:t>）</w:t>
            </w:r>
          </w:p>
        </w:tc>
        <w:tc>
          <w:tcPr>
            <w:tcW w:w="860" w:type="pct"/>
            <w:gridSpan w:val="2"/>
            <w:tcBorders>
              <w:top w:val="single" w:color="4BACC6" w:sz="8" w:space="0"/>
              <w:left w:val="single" w:color="4BACC6" w:sz="8" w:space="0"/>
              <w:bottom w:val="single" w:color="4BACC6" w:sz="8" w:space="0"/>
              <w:right w:val="single" w:color="4BACC6" w:sz="8" w:space="0"/>
            </w:tcBorders>
            <w:shd w:val="clear" w:color="auto" w:fill="4BACC6"/>
            <w:noWrap/>
            <w:vAlign w:val="center"/>
          </w:tcPr>
          <w:p w14:paraId="0C83A1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氨氮</w:t>
            </w:r>
          </w:p>
          <w:p w14:paraId="15683C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-N）</w:t>
            </w:r>
          </w:p>
        </w:tc>
        <w:tc>
          <w:tcPr>
            <w:tcW w:w="527" w:type="pct"/>
            <w:tcBorders>
              <w:top w:val="single" w:color="4BACC6" w:sz="8" w:space="0"/>
              <w:left w:val="single" w:color="4BACC6" w:sz="8" w:space="0"/>
              <w:bottom w:val="single" w:color="4BACC6" w:sz="8" w:space="0"/>
              <w:right w:val="single" w:color="4BACC6" w:sz="8" w:space="0"/>
            </w:tcBorders>
            <w:shd w:val="clear" w:color="auto" w:fill="4BACC6"/>
            <w:noWrap/>
            <w:vAlign w:val="center"/>
          </w:tcPr>
          <w:p w14:paraId="497A786A">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悬浮物（SS）</w:t>
            </w:r>
          </w:p>
        </w:tc>
        <w:tc>
          <w:tcPr>
            <w:tcW w:w="770" w:type="pct"/>
            <w:tcBorders>
              <w:top w:val="single" w:color="4BACC6" w:sz="8" w:space="0"/>
              <w:left w:val="single" w:color="4BACC6" w:sz="8" w:space="0"/>
              <w:bottom w:val="single" w:color="4BACC6" w:sz="8" w:space="0"/>
              <w:right w:val="single" w:color="4BACC6" w:sz="8" w:space="0"/>
            </w:tcBorders>
            <w:shd w:val="clear" w:color="auto" w:fill="4BACC6"/>
            <w:noWrap/>
            <w:vAlign w:val="center"/>
          </w:tcPr>
          <w:p w14:paraId="3917F6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大肠杆菌数</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kern w:val="0"/>
                <w:sz w:val="21"/>
                <w:szCs w:val="21"/>
                <w:highlight w:val="none"/>
              </w:rPr>
              <w:t>MPN/L</w:t>
            </w:r>
            <w:r>
              <w:rPr>
                <w:rFonts w:hint="default" w:ascii="Times New Roman" w:hAnsi="Times New Roman" w:eastAsia="宋体" w:cs="Times New Roman"/>
                <w:color w:val="auto"/>
                <w:kern w:val="0"/>
                <w:sz w:val="21"/>
                <w:szCs w:val="21"/>
                <w:highlight w:val="none"/>
                <w:lang w:val="en-US" w:eastAsia="zh-CN"/>
              </w:rPr>
              <w:t>)</w:t>
            </w:r>
          </w:p>
        </w:tc>
      </w:tr>
      <w:tr w14:paraId="10576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1229" w:type="pct"/>
            <w:tcBorders>
              <w:top w:val="single" w:color="4BACC6" w:sz="8" w:space="0"/>
              <w:left w:val="single" w:color="4BACC6" w:sz="8" w:space="0"/>
              <w:bottom w:val="single" w:color="4BACC6" w:sz="8" w:space="0"/>
              <w:right w:val="single" w:color="4BACC6" w:sz="8" w:space="0"/>
            </w:tcBorders>
            <w:shd w:val="clear" w:color="auto" w:fill="B7DDE8"/>
            <w:noWrap/>
            <w:vAlign w:val="center"/>
          </w:tcPr>
          <w:p w14:paraId="569A341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污染物浓度（mg/L）</w:t>
            </w:r>
          </w:p>
        </w:tc>
        <w:tc>
          <w:tcPr>
            <w:tcW w:w="813" w:type="pct"/>
            <w:tcBorders>
              <w:top w:val="single" w:color="4BACC6" w:sz="8" w:space="0"/>
              <w:left w:val="single" w:color="4BACC6" w:sz="8" w:space="0"/>
              <w:bottom w:val="single" w:color="4BACC6" w:sz="8" w:space="0"/>
              <w:right w:val="single" w:color="4BACC6" w:sz="8" w:space="0"/>
            </w:tcBorders>
            <w:shd w:val="clear" w:color="auto" w:fill="B7DDE8"/>
            <w:noWrap/>
            <w:vAlign w:val="center"/>
          </w:tcPr>
          <w:p w14:paraId="40152F9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≤250</w:t>
            </w:r>
          </w:p>
        </w:tc>
        <w:tc>
          <w:tcPr>
            <w:tcW w:w="798" w:type="pct"/>
            <w:tcBorders>
              <w:top w:val="single" w:color="4BACC6" w:sz="8" w:space="0"/>
              <w:left w:val="single" w:color="4BACC6" w:sz="8" w:space="0"/>
              <w:bottom w:val="single" w:color="4BACC6" w:sz="8" w:space="0"/>
              <w:right w:val="single" w:color="4BACC6" w:sz="8" w:space="0"/>
            </w:tcBorders>
            <w:shd w:val="clear" w:color="auto" w:fill="B7DDE8"/>
            <w:noWrap/>
            <w:vAlign w:val="center"/>
          </w:tcPr>
          <w:p w14:paraId="77CA61F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w:t>
            </w:r>
          </w:p>
        </w:tc>
        <w:tc>
          <w:tcPr>
            <w:tcW w:w="720" w:type="pct"/>
            <w:tcBorders>
              <w:top w:val="single" w:color="4BACC6" w:sz="8" w:space="0"/>
              <w:left w:val="single" w:color="4BACC6" w:sz="8" w:space="0"/>
              <w:bottom w:val="single" w:color="4BACC6" w:sz="8" w:space="0"/>
              <w:right w:val="single" w:color="4BACC6" w:sz="8" w:space="0"/>
            </w:tcBorders>
            <w:shd w:val="clear" w:color="auto" w:fill="B7DDE8"/>
            <w:noWrap/>
            <w:vAlign w:val="center"/>
          </w:tcPr>
          <w:p w14:paraId="7F55C1A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667" w:type="pct"/>
            <w:gridSpan w:val="2"/>
            <w:tcBorders>
              <w:top w:val="single" w:color="4BACC6" w:sz="8" w:space="0"/>
              <w:left w:val="single" w:color="4BACC6" w:sz="8" w:space="0"/>
              <w:bottom w:val="single" w:color="4BACC6" w:sz="8" w:space="0"/>
              <w:right w:val="single" w:color="4BACC6" w:sz="8" w:space="0"/>
            </w:tcBorders>
            <w:shd w:val="clear" w:color="auto" w:fill="B7DDE8"/>
            <w:noWrap/>
            <w:vAlign w:val="center"/>
          </w:tcPr>
          <w:p w14:paraId="62BB097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rPr>
              <w:t>0</w:t>
            </w:r>
          </w:p>
        </w:tc>
        <w:tc>
          <w:tcPr>
            <w:tcW w:w="770" w:type="pct"/>
            <w:tcBorders>
              <w:top w:val="single" w:color="4BACC6" w:sz="8" w:space="0"/>
              <w:left w:val="single" w:color="4BACC6" w:sz="8" w:space="0"/>
              <w:bottom w:val="single" w:color="4BACC6" w:sz="8" w:space="0"/>
              <w:right w:val="single" w:color="4BACC6" w:sz="8" w:space="0"/>
            </w:tcBorders>
            <w:shd w:val="clear" w:color="auto" w:fill="B7DDE8"/>
            <w:noWrap/>
            <w:vAlign w:val="center"/>
          </w:tcPr>
          <w:p w14:paraId="308DA16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5000</w:t>
            </w:r>
          </w:p>
        </w:tc>
      </w:tr>
    </w:tbl>
    <w:p w14:paraId="18272A73">
      <w:pPr>
        <w:numPr>
          <w:ilvl w:val="0"/>
          <w:numId w:val="2"/>
        </w:numPr>
        <w:spacing w:line="360" w:lineRule="auto"/>
        <w:jc w:val="both"/>
        <w:outlineLvl w:val="0"/>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lang w:val="en-US" w:eastAsia="zh-CN"/>
        </w:rPr>
        <w:t>资格</w:t>
      </w:r>
      <w:r>
        <w:rPr>
          <w:rFonts w:hint="eastAsia" w:ascii="黑体" w:hAnsi="黑体" w:eastAsia="黑体" w:cs="黑体"/>
          <w:b w:val="0"/>
          <w:bCs/>
          <w:color w:val="auto"/>
          <w:sz w:val="28"/>
          <w:szCs w:val="28"/>
          <w:highlight w:val="none"/>
        </w:rPr>
        <w:t>要求</w:t>
      </w:r>
    </w:p>
    <w:p w14:paraId="0B32583F">
      <w:pPr>
        <w:spacing w:line="360" w:lineRule="auto"/>
        <w:ind w:left="0" w:leftChars="0" w:firstLine="420" w:firstLineChars="150"/>
        <w:jc w:val="both"/>
        <w:outlineLvl w:val="9"/>
        <w:rPr>
          <w:rFonts w:hint="default" w:ascii="黑体" w:hAnsi="黑体" w:eastAsia="黑体" w:cs="黑体"/>
          <w:b w:val="0"/>
          <w:bCs/>
          <w:color w:val="auto"/>
          <w:sz w:val="28"/>
          <w:szCs w:val="28"/>
          <w:highlight w:val="none"/>
          <w:lang w:val="en-US" w:eastAsia="zh-CN"/>
        </w:rPr>
      </w:pPr>
      <w:r>
        <w:rPr>
          <w:rFonts w:hint="default" w:ascii="黑体" w:hAnsi="黑体" w:eastAsia="黑体" w:cs="黑体"/>
          <w:b w:val="0"/>
          <w:bCs/>
          <w:color w:val="auto"/>
          <w:sz w:val="28"/>
          <w:szCs w:val="28"/>
          <w:highlight w:val="none"/>
          <w:lang w:val="en-US" w:eastAsia="zh-CN"/>
        </w:rPr>
        <w:t>1</w:t>
      </w:r>
      <w:r>
        <w:rPr>
          <w:rFonts w:hint="eastAsia" w:ascii="黑体" w:hAnsi="黑体" w:eastAsia="黑体" w:cs="黑体"/>
          <w:b w:val="0"/>
          <w:bCs/>
          <w:color w:val="auto"/>
          <w:sz w:val="28"/>
          <w:szCs w:val="28"/>
          <w:highlight w:val="none"/>
          <w:lang w:val="en-US" w:eastAsia="zh-CN"/>
        </w:rPr>
        <w:t>.</w:t>
      </w:r>
      <w:r>
        <w:rPr>
          <w:rFonts w:hint="eastAsia" w:ascii="宋体" w:hAnsi="宋体" w:eastAsia="宋体" w:cs="宋体"/>
          <w:color w:val="auto"/>
          <w:kern w:val="2"/>
          <w:sz w:val="24"/>
          <w:szCs w:val="24"/>
          <w:highlight w:val="none"/>
          <w:u w:val="none"/>
          <w:lang w:val="en-US" w:eastAsia="zh-CN" w:bidi="ar-SA"/>
        </w:rPr>
        <w:t>特殊资格要求：具备行业主管部门颁发的“污染治理设施运行服务能力评价证书</w:t>
      </w:r>
      <w:r>
        <w:rPr>
          <w:rFonts w:hint="eastAsia" w:ascii="宋体" w:hAnsi="宋体" w:eastAsia="宋体" w:cs="宋体"/>
          <w:b/>
          <w:bCs/>
          <w:color w:val="auto"/>
          <w:kern w:val="2"/>
          <w:sz w:val="24"/>
          <w:szCs w:val="24"/>
          <w:highlight w:val="none"/>
          <w:u w:val="single"/>
          <w:lang w:val="en-US" w:eastAsia="zh-CN" w:bidi="ar-SA"/>
        </w:rPr>
        <w:t>二级及以上</w:t>
      </w:r>
      <w:r>
        <w:rPr>
          <w:rFonts w:hint="eastAsia" w:ascii="宋体" w:hAnsi="宋体" w:eastAsia="宋体" w:cs="宋体"/>
          <w:color w:val="auto"/>
          <w:kern w:val="2"/>
          <w:sz w:val="24"/>
          <w:szCs w:val="24"/>
          <w:highlight w:val="none"/>
          <w:u w:val="none"/>
          <w:lang w:val="en-US" w:eastAsia="zh-CN" w:bidi="ar-SA"/>
        </w:rPr>
        <w:t>”和“环境污染治理服务能力评价证书</w:t>
      </w:r>
      <w:r>
        <w:rPr>
          <w:rFonts w:hint="eastAsia" w:ascii="宋体" w:hAnsi="宋体" w:eastAsia="宋体" w:cs="宋体"/>
          <w:b/>
          <w:bCs/>
          <w:color w:val="auto"/>
          <w:kern w:val="2"/>
          <w:sz w:val="24"/>
          <w:szCs w:val="24"/>
          <w:highlight w:val="none"/>
          <w:u w:val="single"/>
          <w:lang w:val="en-US" w:eastAsia="zh-CN" w:bidi="ar-SA"/>
        </w:rPr>
        <w:t>乙级及以上</w:t>
      </w:r>
      <w:r>
        <w:rPr>
          <w:rFonts w:hint="eastAsia" w:ascii="宋体" w:hAnsi="宋体" w:eastAsia="宋体" w:cs="宋体"/>
          <w:color w:val="auto"/>
          <w:kern w:val="2"/>
          <w:sz w:val="24"/>
          <w:szCs w:val="24"/>
          <w:highlight w:val="none"/>
          <w:u w:val="none"/>
          <w:lang w:val="en-US" w:eastAsia="zh-CN" w:bidi="ar-SA"/>
        </w:rPr>
        <w:t>”；具备有效期内的</w:t>
      </w:r>
      <w:r>
        <w:rPr>
          <w:rFonts w:hint="eastAsia" w:ascii="宋体" w:hAnsi="宋体" w:eastAsia="宋体" w:cs="宋体"/>
          <w:b/>
          <w:bCs/>
          <w:color w:val="auto"/>
          <w:kern w:val="2"/>
          <w:sz w:val="24"/>
          <w:szCs w:val="24"/>
          <w:highlight w:val="none"/>
          <w:u w:val="single"/>
          <w:lang w:val="en-US" w:eastAsia="zh-CN" w:bidi="ar-SA"/>
        </w:rPr>
        <w:t>安全生产许可证书</w:t>
      </w:r>
      <w:r>
        <w:rPr>
          <w:rFonts w:hint="eastAsia" w:ascii="宋体" w:hAnsi="宋体" w:eastAsia="宋体" w:cs="宋体"/>
          <w:b w:val="0"/>
          <w:bCs w:val="0"/>
          <w:color w:val="auto"/>
          <w:kern w:val="2"/>
          <w:sz w:val="24"/>
          <w:szCs w:val="24"/>
          <w:highlight w:val="none"/>
          <w:u w:val="none"/>
          <w:lang w:val="en-US" w:eastAsia="zh-CN" w:bidi="ar-SA"/>
        </w:rPr>
        <w:t>。</w:t>
      </w:r>
    </w:p>
    <w:p w14:paraId="1F7B0A04">
      <w:pPr>
        <w:rPr>
          <w:rFonts w:hint="eastAsia"/>
          <w:b/>
          <w:bCs/>
          <w:color w:val="auto"/>
          <w:sz w:val="24"/>
          <w:szCs w:val="24"/>
          <w:highlight w:val="none"/>
          <w:lang w:eastAsia="zh-CN"/>
        </w:rPr>
      </w:pPr>
      <w:bookmarkStart w:id="0" w:name="_GoBack"/>
      <w:bookmarkEnd w:id="0"/>
      <w:r>
        <w:rPr>
          <w:rFonts w:hint="eastAsia"/>
          <w:b/>
          <w:bCs/>
          <w:color w:val="auto"/>
          <w:sz w:val="24"/>
          <w:szCs w:val="24"/>
          <w:highlight w:val="none"/>
          <w:lang w:val="en-US" w:eastAsia="zh-CN"/>
        </w:rPr>
        <w:t>四</w:t>
      </w:r>
      <w:r>
        <w:rPr>
          <w:rFonts w:hint="eastAsia"/>
          <w:b/>
          <w:bCs/>
          <w:color w:val="auto"/>
          <w:sz w:val="24"/>
          <w:szCs w:val="24"/>
          <w:highlight w:val="none"/>
          <w:lang w:eastAsia="zh-CN"/>
        </w:rPr>
        <w:t>、技术要求</w:t>
      </w:r>
    </w:p>
    <w:p w14:paraId="1108F0AB">
      <w:pPr>
        <w:spacing w:line="360" w:lineRule="auto"/>
        <w:ind w:left="0" w:leftChars="0" w:firstLine="480" w:firstLineChars="200"/>
        <w:rPr>
          <w:rFonts w:hint="eastAsia" w:eastAsia="宋体"/>
          <w:b w:val="0"/>
          <w:bCs w:val="0"/>
          <w:color w:val="auto"/>
          <w:sz w:val="24"/>
          <w:szCs w:val="24"/>
          <w:highlight w:val="none"/>
          <w:lang w:val="en-US" w:eastAsia="zh-CN"/>
        </w:rPr>
      </w:pPr>
      <w:r>
        <w:rPr>
          <w:rFonts w:hint="eastAsia"/>
          <w:b w:val="0"/>
          <w:bCs w:val="0"/>
          <w:color w:val="auto"/>
          <w:sz w:val="24"/>
          <w:szCs w:val="24"/>
          <w:highlight w:val="none"/>
          <w:lang w:val="en-US" w:eastAsia="zh-CN"/>
        </w:rPr>
        <w:t>1.基本要求</w:t>
      </w:r>
    </w:p>
    <w:p w14:paraId="35046B5F">
      <w:pPr>
        <w:bidi w:val="0"/>
        <w:spacing w:line="360" w:lineRule="auto"/>
        <w:ind w:left="0" w:leftChars="0" w:firstLine="480" w:firstLineChars="200"/>
        <w:rPr>
          <w:rFonts w:hint="default" w:ascii="Times New Roman" w:hAnsi="Times New Roman" w:eastAsia="宋体" w:cs="Times New Roman"/>
          <w:color w:val="auto"/>
          <w:sz w:val="24"/>
          <w:szCs w:val="24"/>
          <w:highlight w:val="none"/>
          <w:lang w:val="en-US" w:eastAsia="zh-CN"/>
        </w:rPr>
      </w:pPr>
      <w:r>
        <w:rPr>
          <w:rFonts w:hint="eastAsia"/>
          <w:color w:val="auto"/>
          <w:sz w:val="24"/>
          <w:szCs w:val="24"/>
          <w:highlight w:val="none"/>
        </w:rPr>
        <w:t>（1）供</w:t>
      </w:r>
      <w:r>
        <w:rPr>
          <w:rFonts w:hint="eastAsia" w:ascii="Times New Roman" w:hAnsi="Times New Roman" w:eastAsia="宋体" w:cs="Times New Roman"/>
          <w:color w:val="auto"/>
          <w:sz w:val="24"/>
          <w:szCs w:val="24"/>
          <w:highlight w:val="none"/>
        </w:rPr>
        <w:t>应商应具备专业的污水处理技术，对医院污水处理站运营维护有丰富的实践经验</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派遣的运营人员需具备专业污水处理能力和一定的污水处理知识。</w:t>
      </w:r>
    </w:p>
    <w:p w14:paraId="6B6FA23D">
      <w:pPr>
        <w:bidi w:val="0"/>
        <w:spacing w:line="360" w:lineRule="auto"/>
        <w:ind w:firstLine="480" w:firstLineChars="200"/>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lang w:eastAsia="zh-CN"/>
        </w:rPr>
        <w:t>）</w:t>
      </w:r>
      <w:r>
        <w:rPr>
          <w:rFonts w:hint="eastAsia"/>
          <w:color w:val="auto"/>
          <w:sz w:val="24"/>
          <w:szCs w:val="24"/>
          <w:highlight w:val="none"/>
        </w:rPr>
        <w:t>供应商应了解并遵守国家及地方相关环保法律法规，确保医院污水达标排放。</w:t>
      </w:r>
    </w:p>
    <w:p w14:paraId="7952FEFE">
      <w:pPr>
        <w:bidi w:val="0"/>
        <w:spacing w:line="360" w:lineRule="auto"/>
        <w:ind w:firstLine="480" w:firstLineChars="200"/>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r>
        <w:rPr>
          <w:rFonts w:hint="eastAsia"/>
          <w:color w:val="auto"/>
          <w:sz w:val="24"/>
          <w:szCs w:val="24"/>
          <w:highlight w:val="none"/>
        </w:rPr>
        <w:t>供应商应提供全面的污水处理</w:t>
      </w:r>
      <w:r>
        <w:rPr>
          <w:rFonts w:hint="eastAsia"/>
          <w:color w:val="auto"/>
          <w:sz w:val="24"/>
          <w:szCs w:val="24"/>
          <w:highlight w:val="none"/>
          <w:lang w:val="en-US" w:eastAsia="zh-CN"/>
        </w:rPr>
        <w:t>运营管理及技术支持</w:t>
      </w:r>
      <w:r>
        <w:rPr>
          <w:rFonts w:hint="eastAsia"/>
          <w:color w:val="auto"/>
          <w:sz w:val="24"/>
          <w:szCs w:val="24"/>
          <w:highlight w:val="none"/>
        </w:rPr>
        <w:t>，</w:t>
      </w:r>
      <w:r>
        <w:rPr>
          <w:rFonts w:hint="eastAsia"/>
          <w:color w:val="auto"/>
          <w:sz w:val="24"/>
          <w:szCs w:val="24"/>
          <w:highlight w:val="none"/>
          <w:lang w:val="en-US" w:eastAsia="zh-CN"/>
        </w:rPr>
        <w:t>做好污水处理站各项运营记录，负责好污水站设备设施的日常巡检及保养工作</w:t>
      </w:r>
      <w:r>
        <w:rPr>
          <w:rFonts w:hint="eastAsia"/>
          <w:color w:val="auto"/>
          <w:sz w:val="24"/>
          <w:szCs w:val="24"/>
          <w:highlight w:val="none"/>
        </w:rPr>
        <w:t>。</w:t>
      </w:r>
    </w:p>
    <w:p w14:paraId="4F0AB6D7">
      <w:pPr>
        <w:spacing w:line="360" w:lineRule="auto"/>
        <w:ind w:firstLine="480" w:firstLineChars="200"/>
        <w:rPr>
          <w:rFonts w:hint="eastAsia"/>
          <w:color w:val="auto"/>
          <w:sz w:val="24"/>
          <w:szCs w:val="24"/>
          <w:highlight w:val="none"/>
        </w:rPr>
      </w:pPr>
      <w:r>
        <w:rPr>
          <w:rFonts w:hint="eastAsia"/>
          <w:color w:val="auto"/>
          <w:sz w:val="24"/>
          <w:szCs w:val="24"/>
          <w:highlight w:val="none"/>
        </w:rPr>
        <w:t>2.人员</w:t>
      </w:r>
      <w:r>
        <w:rPr>
          <w:rFonts w:hint="eastAsia"/>
          <w:color w:val="auto"/>
          <w:sz w:val="24"/>
          <w:szCs w:val="24"/>
          <w:highlight w:val="none"/>
          <w:lang w:val="en-US" w:eastAsia="zh-CN"/>
        </w:rPr>
        <w:t>团队</w:t>
      </w:r>
      <w:r>
        <w:rPr>
          <w:rFonts w:hint="eastAsia"/>
          <w:color w:val="auto"/>
          <w:sz w:val="24"/>
          <w:szCs w:val="24"/>
          <w:highlight w:val="none"/>
        </w:rPr>
        <w:t>配置要求：</w:t>
      </w:r>
    </w:p>
    <w:p w14:paraId="51265DFB">
      <w:pPr>
        <w:spacing w:line="360" w:lineRule="auto"/>
        <w:ind w:firstLine="480" w:firstLineChars="200"/>
        <w:rPr>
          <w:rFonts w:hint="default" w:eastAsia="宋体"/>
          <w:color w:val="auto"/>
          <w:sz w:val="24"/>
          <w:szCs w:val="24"/>
          <w:highlight w:val="none"/>
          <w:lang w:val="en-US" w:eastAsia="zh-CN"/>
        </w:rPr>
      </w:pPr>
      <w:r>
        <w:rPr>
          <w:rFonts w:hint="eastAsia"/>
          <w:color w:val="auto"/>
          <w:sz w:val="24"/>
          <w:szCs w:val="24"/>
          <w:highlight w:val="none"/>
          <w:lang w:val="en-US" w:eastAsia="zh-CN"/>
        </w:rPr>
        <w:t>配置技术</w:t>
      </w:r>
      <w:r>
        <w:rPr>
          <w:rFonts w:hint="eastAsia"/>
          <w:color w:val="auto"/>
          <w:sz w:val="24"/>
          <w:szCs w:val="24"/>
          <w:highlight w:val="none"/>
        </w:rPr>
        <w:t>负责人1名（具备</w:t>
      </w:r>
      <w:r>
        <w:rPr>
          <w:rFonts w:hint="eastAsia"/>
          <w:color w:val="auto"/>
          <w:sz w:val="24"/>
          <w:szCs w:val="24"/>
          <w:highlight w:val="none"/>
          <w:lang w:val="en-US" w:eastAsia="zh-CN"/>
        </w:rPr>
        <w:t>10</w:t>
      </w:r>
      <w:r>
        <w:rPr>
          <w:rFonts w:hint="eastAsia"/>
          <w:color w:val="auto"/>
          <w:sz w:val="24"/>
          <w:szCs w:val="24"/>
          <w:highlight w:val="none"/>
        </w:rPr>
        <w:t>年以上的医院污水处理经验和管理经验，熟悉相关法律法规和标准，负责整个污水处理站的</w:t>
      </w:r>
      <w:r>
        <w:rPr>
          <w:rFonts w:hint="eastAsia"/>
          <w:color w:val="auto"/>
          <w:sz w:val="24"/>
          <w:szCs w:val="24"/>
          <w:highlight w:val="none"/>
          <w:lang w:val="en-US" w:eastAsia="zh-CN"/>
        </w:rPr>
        <w:t>监督指导工作，提供技术支持与服务，具备高级污水处理工证书及环境类高级职称证书</w:t>
      </w:r>
      <w:r>
        <w:rPr>
          <w:rFonts w:hint="eastAsia"/>
          <w:color w:val="auto"/>
          <w:sz w:val="24"/>
          <w:szCs w:val="24"/>
          <w:highlight w:val="none"/>
        </w:rPr>
        <w:t>）</w:t>
      </w:r>
      <w:r>
        <w:rPr>
          <w:rFonts w:hint="eastAsia"/>
          <w:color w:val="auto"/>
          <w:sz w:val="24"/>
          <w:szCs w:val="24"/>
          <w:highlight w:val="none"/>
          <w:lang w:eastAsia="zh-CN"/>
        </w:rPr>
        <w:t>；</w:t>
      </w:r>
      <w:r>
        <w:rPr>
          <w:rFonts w:hint="eastAsia"/>
          <w:color w:val="auto"/>
          <w:sz w:val="24"/>
          <w:szCs w:val="24"/>
          <w:highlight w:val="none"/>
          <w:lang w:val="en-US" w:eastAsia="zh-CN"/>
        </w:rPr>
        <w:t>配置管理人员1名</w:t>
      </w:r>
      <w:r>
        <w:rPr>
          <w:rFonts w:hint="eastAsia"/>
          <w:color w:val="auto"/>
          <w:sz w:val="24"/>
          <w:szCs w:val="24"/>
          <w:highlight w:val="none"/>
        </w:rPr>
        <w:t>（具备</w:t>
      </w:r>
      <w:r>
        <w:rPr>
          <w:rFonts w:hint="eastAsia"/>
          <w:color w:val="auto"/>
          <w:sz w:val="24"/>
          <w:szCs w:val="24"/>
          <w:highlight w:val="none"/>
          <w:lang w:val="en-US" w:eastAsia="zh-CN"/>
        </w:rPr>
        <w:t>5</w:t>
      </w:r>
      <w:r>
        <w:rPr>
          <w:rFonts w:hint="eastAsia"/>
          <w:color w:val="auto"/>
          <w:sz w:val="24"/>
          <w:szCs w:val="24"/>
          <w:highlight w:val="none"/>
        </w:rPr>
        <w:t>年以上的医院污水处理经验和管理经验，熟悉相关法律法规和标准，负责整个污水处理站的运行</w:t>
      </w:r>
      <w:r>
        <w:rPr>
          <w:rFonts w:hint="eastAsia"/>
          <w:color w:val="auto"/>
          <w:sz w:val="24"/>
          <w:szCs w:val="24"/>
          <w:highlight w:val="none"/>
          <w:lang w:val="en-US" w:eastAsia="zh-CN"/>
        </w:rPr>
        <w:t>管理</w:t>
      </w:r>
      <w:r>
        <w:rPr>
          <w:rFonts w:hint="eastAsia"/>
          <w:color w:val="auto"/>
          <w:sz w:val="24"/>
          <w:szCs w:val="24"/>
          <w:highlight w:val="none"/>
        </w:rPr>
        <w:t>和检查各项工作的执行情况</w:t>
      </w:r>
      <w:r>
        <w:rPr>
          <w:rFonts w:hint="eastAsia"/>
          <w:color w:val="auto"/>
          <w:sz w:val="24"/>
          <w:szCs w:val="24"/>
          <w:highlight w:val="none"/>
          <w:lang w:eastAsia="zh-CN"/>
        </w:rPr>
        <w:t>，</w:t>
      </w:r>
      <w:r>
        <w:rPr>
          <w:rFonts w:hint="eastAsia"/>
          <w:color w:val="auto"/>
          <w:sz w:val="24"/>
          <w:szCs w:val="24"/>
          <w:highlight w:val="none"/>
          <w:lang w:val="en-US" w:eastAsia="zh-CN"/>
        </w:rPr>
        <w:t>配合填报排污许可数据及相关报告等。具备高级污水处理工证书及环境类高级职称证书</w:t>
      </w:r>
      <w:r>
        <w:rPr>
          <w:rFonts w:hint="eastAsia"/>
          <w:color w:val="auto"/>
          <w:sz w:val="24"/>
          <w:szCs w:val="24"/>
          <w:highlight w:val="none"/>
        </w:rPr>
        <w:t>）</w:t>
      </w:r>
      <w:r>
        <w:rPr>
          <w:rFonts w:hint="eastAsia"/>
          <w:color w:val="auto"/>
          <w:sz w:val="24"/>
          <w:szCs w:val="24"/>
          <w:highlight w:val="none"/>
          <w:lang w:val="en-US" w:eastAsia="zh-CN"/>
        </w:rPr>
        <w:t>，运营人员持证上岗</w:t>
      </w:r>
      <w:r>
        <w:rPr>
          <w:rFonts w:hint="eastAsia"/>
          <w:color w:val="auto"/>
          <w:sz w:val="24"/>
          <w:szCs w:val="24"/>
          <w:highlight w:val="none"/>
        </w:rPr>
        <w:t>，</w:t>
      </w:r>
      <w:r>
        <w:rPr>
          <w:rFonts w:hint="eastAsia"/>
          <w:color w:val="auto"/>
          <w:sz w:val="24"/>
          <w:szCs w:val="24"/>
          <w:highlight w:val="none"/>
          <w:lang w:val="en-US" w:eastAsia="zh-CN"/>
        </w:rPr>
        <w:t>且有</w:t>
      </w:r>
      <w:r>
        <w:rPr>
          <w:rFonts w:hint="eastAsia"/>
          <w:color w:val="auto"/>
          <w:sz w:val="24"/>
          <w:szCs w:val="24"/>
          <w:highlight w:val="none"/>
        </w:rPr>
        <w:t>一定的污水处理知识和操作技能，能够熟练操作各种设备和仪器</w:t>
      </w:r>
      <w:r>
        <w:rPr>
          <w:rFonts w:hint="eastAsia"/>
          <w:color w:val="auto"/>
          <w:sz w:val="24"/>
          <w:szCs w:val="24"/>
          <w:highlight w:val="none"/>
          <w:lang w:eastAsia="zh-CN"/>
        </w:rPr>
        <w:t>），</w:t>
      </w:r>
      <w:r>
        <w:rPr>
          <w:rFonts w:hint="eastAsia"/>
          <w:color w:val="auto"/>
          <w:sz w:val="24"/>
          <w:szCs w:val="24"/>
          <w:highlight w:val="none"/>
          <w:lang w:val="en-US" w:eastAsia="zh-CN"/>
        </w:rPr>
        <w:t>其中包括</w:t>
      </w:r>
      <w:r>
        <w:rPr>
          <w:rFonts w:hint="eastAsia" w:ascii="宋体" w:hAnsi="宋体" w:eastAsia="宋体" w:cs="宋体"/>
          <w:color w:val="auto"/>
          <w:spacing w:val="2"/>
          <w:sz w:val="24"/>
          <w:szCs w:val="24"/>
          <w:highlight w:val="none"/>
        </w:rPr>
        <w:t>维修人员</w:t>
      </w:r>
      <w:r>
        <w:rPr>
          <w:rFonts w:hint="eastAsia"/>
          <w:color w:val="auto"/>
          <w:sz w:val="24"/>
          <w:szCs w:val="24"/>
          <w:highlight w:val="none"/>
        </w:rPr>
        <w:t>1名</w:t>
      </w:r>
      <w:r>
        <w:rPr>
          <w:rFonts w:hint="eastAsia"/>
          <w:color w:val="auto"/>
          <w:sz w:val="24"/>
          <w:szCs w:val="24"/>
          <w:highlight w:val="none"/>
          <w:lang w:eastAsia="zh-CN"/>
        </w:rPr>
        <w:t>。</w:t>
      </w:r>
      <w:r>
        <w:rPr>
          <w:rFonts w:hint="eastAsia"/>
          <w:color w:val="auto"/>
          <w:sz w:val="24"/>
          <w:szCs w:val="24"/>
          <w:highlight w:val="none"/>
          <w:lang w:val="en-US" w:eastAsia="zh-CN"/>
        </w:rPr>
        <w:t>维修人员需具备建筑电工证书。</w:t>
      </w:r>
    </w:p>
    <w:p w14:paraId="36C44EEE">
      <w:pPr>
        <w:spacing w:line="360" w:lineRule="auto"/>
        <w:ind w:firstLine="480" w:firstLineChars="200"/>
        <w:rPr>
          <w:rFonts w:hint="eastAsia"/>
          <w:color w:val="auto"/>
          <w:sz w:val="24"/>
          <w:szCs w:val="24"/>
          <w:highlight w:val="none"/>
        </w:rPr>
      </w:pPr>
      <w:r>
        <w:rPr>
          <w:rFonts w:hint="eastAsia"/>
          <w:color w:val="auto"/>
          <w:sz w:val="24"/>
          <w:szCs w:val="24"/>
          <w:highlight w:val="none"/>
        </w:rPr>
        <w:t>3.设备运行及维修要求：</w:t>
      </w:r>
    </w:p>
    <w:p w14:paraId="5DB99029">
      <w:pPr>
        <w:spacing w:line="360" w:lineRule="auto"/>
        <w:ind w:firstLine="480" w:firstLineChars="200"/>
        <w:rPr>
          <w:rFonts w:hint="eastAsia" w:eastAsia="宋体"/>
          <w:color w:val="auto"/>
          <w:sz w:val="24"/>
          <w:szCs w:val="24"/>
          <w:highlight w:val="none"/>
          <w:lang w:eastAsia="zh-CN"/>
        </w:rPr>
      </w:pPr>
      <w:r>
        <w:rPr>
          <w:rFonts w:hint="eastAsia"/>
          <w:color w:val="auto"/>
          <w:sz w:val="24"/>
          <w:szCs w:val="24"/>
          <w:highlight w:val="none"/>
        </w:rPr>
        <w:t>供应商应保障污水处理站24小时正常运行。负责污水处理药剂、维护设备易损件的日常更换并承担其费用。对设备的维修需要更换的配件价格单价在1000元及以下的由</w:t>
      </w:r>
      <w:r>
        <w:rPr>
          <w:rFonts w:hint="eastAsia"/>
          <w:color w:val="auto"/>
          <w:sz w:val="24"/>
          <w:szCs w:val="24"/>
          <w:highlight w:val="none"/>
          <w:lang w:val="en-US" w:eastAsia="zh-CN"/>
        </w:rPr>
        <w:t>供应商</w:t>
      </w:r>
      <w:r>
        <w:rPr>
          <w:rFonts w:hint="eastAsia"/>
          <w:color w:val="auto"/>
          <w:sz w:val="24"/>
          <w:szCs w:val="24"/>
          <w:highlight w:val="none"/>
        </w:rPr>
        <w:t>负责，单价1000元以上的</w:t>
      </w:r>
      <w:r>
        <w:rPr>
          <w:rFonts w:hint="eastAsia"/>
          <w:color w:val="auto"/>
          <w:sz w:val="24"/>
          <w:szCs w:val="24"/>
          <w:highlight w:val="none"/>
          <w:lang w:val="en-US" w:eastAsia="zh-CN"/>
        </w:rPr>
        <w:t>由院方负责</w:t>
      </w:r>
      <w:r>
        <w:rPr>
          <w:rFonts w:hint="eastAsia"/>
          <w:color w:val="auto"/>
          <w:sz w:val="24"/>
          <w:szCs w:val="24"/>
          <w:highlight w:val="none"/>
          <w:lang w:eastAsia="zh-CN"/>
        </w:rPr>
        <w:t>。</w:t>
      </w:r>
    </w:p>
    <w:p w14:paraId="43CB26EC">
      <w:pPr>
        <w:spacing w:line="360" w:lineRule="auto"/>
        <w:ind w:firstLine="480" w:firstLineChars="200"/>
        <w:rPr>
          <w:rFonts w:hint="eastAsia"/>
          <w:color w:val="auto"/>
          <w:sz w:val="24"/>
          <w:szCs w:val="24"/>
          <w:highlight w:val="none"/>
        </w:rPr>
      </w:pPr>
      <w:r>
        <w:rPr>
          <w:rFonts w:hint="eastAsia"/>
          <w:color w:val="auto"/>
          <w:sz w:val="24"/>
          <w:szCs w:val="24"/>
          <w:highlight w:val="none"/>
        </w:rPr>
        <w:t>4.服务及培训要求：</w:t>
      </w:r>
    </w:p>
    <w:p w14:paraId="194A75FA">
      <w:pPr>
        <w:spacing w:line="360" w:lineRule="auto"/>
        <w:ind w:firstLine="240" w:firstLineChars="100"/>
        <w:rPr>
          <w:rFonts w:hint="eastAsia"/>
          <w:color w:val="auto"/>
          <w:sz w:val="24"/>
          <w:szCs w:val="24"/>
          <w:highlight w:val="none"/>
        </w:rPr>
      </w:pPr>
      <w:r>
        <w:rPr>
          <w:rFonts w:hint="eastAsia"/>
          <w:color w:val="auto"/>
          <w:sz w:val="24"/>
          <w:szCs w:val="24"/>
          <w:highlight w:val="none"/>
        </w:rPr>
        <w:t>（1）供应商应提供全面的运营维护服务，包括定期巡检、设备保养、故障排除等，确保污水处理站正常运行。</w:t>
      </w:r>
    </w:p>
    <w:p w14:paraId="749A452D">
      <w:pPr>
        <w:spacing w:line="360" w:lineRule="auto"/>
        <w:ind w:firstLine="240" w:firstLineChars="100"/>
        <w:rPr>
          <w:rFonts w:hint="eastAsia"/>
          <w:color w:val="auto"/>
          <w:sz w:val="24"/>
          <w:szCs w:val="24"/>
          <w:highlight w:val="none"/>
        </w:rPr>
      </w:pPr>
      <w:r>
        <w:rPr>
          <w:rFonts w:hint="eastAsia"/>
          <w:color w:val="auto"/>
          <w:sz w:val="24"/>
          <w:szCs w:val="24"/>
          <w:highlight w:val="none"/>
        </w:rPr>
        <w:t>（2）供应商应根据环保相关要求建立污水处理站有关台账，并规范填报。</w:t>
      </w:r>
    </w:p>
    <w:p w14:paraId="5635D6D7">
      <w:pPr>
        <w:spacing w:line="360" w:lineRule="auto"/>
        <w:ind w:firstLine="240" w:firstLineChars="100"/>
        <w:rPr>
          <w:rFonts w:hint="eastAsia"/>
          <w:color w:val="auto"/>
          <w:sz w:val="24"/>
          <w:szCs w:val="24"/>
          <w:highlight w:val="none"/>
        </w:rPr>
      </w:pPr>
      <w:r>
        <w:rPr>
          <w:rFonts w:hint="eastAsia"/>
          <w:color w:val="auto"/>
          <w:sz w:val="24"/>
          <w:szCs w:val="24"/>
          <w:highlight w:val="none"/>
        </w:rPr>
        <w:t>（3）供应商应定期（每</w:t>
      </w:r>
      <w:r>
        <w:rPr>
          <w:rFonts w:hint="eastAsia"/>
          <w:color w:val="auto"/>
          <w:sz w:val="24"/>
          <w:szCs w:val="24"/>
          <w:highlight w:val="none"/>
          <w:lang w:val="en-US" w:eastAsia="zh-CN"/>
        </w:rPr>
        <w:t>年</w:t>
      </w:r>
      <w:r>
        <w:rPr>
          <w:rFonts w:hint="eastAsia"/>
          <w:color w:val="auto"/>
          <w:sz w:val="24"/>
          <w:szCs w:val="24"/>
          <w:highlight w:val="none"/>
        </w:rPr>
        <w:t>一次）对工作人员提供专业的技术培训和考核（如污水处理工艺原理、安全生产意识、应急处置等培训），提高其专业技能和处理问题的能力。</w:t>
      </w:r>
    </w:p>
    <w:p w14:paraId="604F6C9C">
      <w:pPr>
        <w:spacing w:line="360" w:lineRule="auto"/>
        <w:ind w:firstLine="240" w:firstLineChars="100"/>
        <w:rPr>
          <w:rFonts w:hint="eastAsia"/>
          <w:color w:val="auto"/>
          <w:sz w:val="24"/>
          <w:szCs w:val="24"/>
          <w:highlight w:val="none"/>
        </w:rPr>
      </w:pPr>
      <w:r>
        <w:rPr>
          <w:rFonts w:hint="eastAsia"/>
          <w:color w:val="auto"/>
          <w:sz w:val="24"/>
          <w:szCs w:val="24"/>
          <w:highlight w:val="none"/>
        </w:rPr>
        <w:t>（4）供应商应建立完善的工作制度和管理制度，确保各项工作的规范化、标准化。</w:t>
      </w:r>
    </w:p>
    <w:p w14:paraId="1F5B906D">
      <w:pPr>
        <w:spacing w:line="360" w:lineRule="auto"/>
        <w:ind w:firstLine="480" w:firstLineChars="200"/>
        <w:rPr>
          <w:rFonts w:hint="eastAsia"/>
          <w:color w:val="auto"/>
          <w:sz w:val="24"/>
          <w:szCs w:val="24"/>
          <w:highlight w:val="none"/>
        </w:rPr>
      </w:pPr>
      <w:r>
        <w:rPr>
          <w:rFonts w:hint="eastAsia"/>
          <w:color w:val="auto"/>
          <w:sz w:val="24"/>
          <w:szCs w:val="24"/>
          <w:highlight w:val="none"/>
          <w:lang w:val="en-US" w:eastAsia="zh-CN"/>
        </w:rPr>
        <w:t>5、</w:t>
      </w:r>
      <w:r>
        <w:rPr>
          <w:rFonts w:hint="eastAsia"/>
          <w:color w:val="auto"/>
          <w:sz w:val="24"/>
          <w:szCs w:val="24"/>
          <w:highlight w:val="none"/>
        </w:rPr>
        <w:t>其他要求：</w:t>
      </w:r>
    </w:p>
    <w:p w14:paraId="0C8C147D">
      <w:pPr>
        <w:spacing w:line="360" w:lineRule="auto"/>
        <w:ind w:firstLine="240" w:firstLineChars="100"/>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rPr>
        <w:t>在合同期内供应商要以专业高标准迎接各单位工作检查，如在迎检中出现问题，供应商</w:t>
      </w:r>
      <w:r>
        <w:rPr>
          <w:rFonts w:hint="eastAsia"/>
          <w:color w:val="auto"/>
          <w:sz w:val="24"/>
          <w:szCs w:val="24"/>
          <w:highlight w:val="none"/>
          <w:lang w:val="en-US" w:eastAsia="zh-CN"/>
        </w:rPr>
        <w:t>应</w:t>
      </w:r>
      <w:r>
        <w:rPr>
          <w:rFonts w:hint="eastAsia"/>
          <w:color w:val="auto"/>
          <w:sz w:val="24"/>
          <w:szCs w:val="24"/>
          <w:highlight w:val="none"/>
        </w:rPr>
        <w:t>立即</w:t>
      </w:r>
      <w:r>
        <w:rPr>
          <w:rFonts w:hint="eastAsia"/>
          <w:color w:val="auto"/>
          <w:sz w:val="24"/>
          <w:szCs w:val="24"/>
          <w:highlight w:val="none"/>
          <w:lang w:val="en-US" w:eastAsia="zh-CN"/>
        </w:rPr>
        <w:t>报告院方，并</w:t>
      </w:r>
      <w:r>
        <w:rPr>
          <w:rFonts w:hint="eastAsia"/>
          <w:color w:val="auto"/>
          <w:sz w:val="24"/>
          <w:szCs w:val="24"/>
          <w:highlight w:val="none"/>
        </w:rPr>
        <w:t>按照检查单位要求书面整改存在的问题，如因供应商未及时整改给医院造成影响，医院有权单方面解除合同，并扣除履约保证金。</w:t>
      </w:r>
    </w:p>
    <w:p w14:paraId="35A1CE6A">
      <w:pPr>
        <w:spacing w:line="360" w:lineRule="auto"/>
        <w:ind w:firstLine="240" w:firstLineChars="100"/>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lang w:eastAsia="zh-CN"/>
        </w:rPr>
        <w:t>）</w:t>
      </w:r>
      <w:r>
        <w:rPr>
          <w:rFonts w:hint="eastAsia"/>
          <w:color w:val="auto"/>
          <w:sz w:val="24"/>
          <w:szCs w:val="24"/>
          <w:highlight w:val="none"/>
        </w:rPr>
        <w:t>因供应商对污水处理站现场管理不善出现的安全环保事故，根据相关部门鉴定结果，供应商</w:t>
      </w:r>
      <w:r>
        <w:rPr>
          <w:rFonts w:hint="eastAsia"/>
          <w:color w:val="auto"/>
          <w:sz w:val="24"/>
          <w:szCs w:val="24"/>
          <w:highlight w:val="none"/>
          <w:lang w:val="en-US" w:eastAsia="zh-CN"/>
        </w:rPr>
        <w:t>应</w:t>
      </w:r>
      <w:r>
        <w:rPr>
          <w:rFonts w:hint="eastAsia"/>
          <w:color w:val="auto"/>
          <w:sz w:val="24"/>
          <w:szCs w:val="24"/>
          <w:highlight w:val="none"/>
        </w:rPr>
        <w:t>承担</w:t>
      </w:r>
      <w:r>
        <w:rPr>
          <w:rFonts w:hint="eastAsia"/>
          <w:color w:val="auto"/>
          <w:sz w:val="24"/>
          <w:szCs w:val="24"/>
          <w:highlight w:val="none"/>
          <w:lang w:val="en-US" w:eastAsia="zh-CN"/>
        </w:rPr>
        <w:t>相应</w:t>
      </w:r>
      <w:r>
        <w:rPr>
          <w:rFonts w:hint="eastAsia"/>
          <w:color w:val="auto"/>
          <w:sz w:val="24"/>
          <w:szCs w:val="24"/>
          <w:highlight w:val="none"/>
        </w:rPr>
        <w:t>责任。</w:t>
      </w:r>
    </w:p>
    <w:p w14:paraId="0405D9EE">
      <w:pPr>
        <w:spacing w:line="360" w:lineRule="auto"/>
        <w:ind w:firstLine="240" w:firstLineChars="100"/>
        <w:rPr>
          <w:rFonts w:hint="eastAsia"/>
          <w:color w:val="auto"/>
          <w:sz w:val="24"/>
        </w:rPr>
      </w:pPr>
      <w:r>
        <w:rPr>
          <w:rFonts w:hint="eastAsia"/>
          <w:color w:val="auto"/>
          <w:sz w:val="24"/>
          <w:lang w:eastAsia="zh-CN"/>
        </w:rPr>
        <w:t>（</w:t>
      </w:r>
      <w:r>
        <w:rPr>
          <w:rFonts w:hint="eastAsia"/>
          <w:color w:val="auto"/>
          <w:sz w:val="24"/>
          <w:lang w:val="en-US" w:eastAsia="zh-CN"/>
        </w:rPr>
        <w:t>3</w:t>
      </w:r>
      <w:r>
        <w:rPr>
          <w:rFonts w:hint="eastAsia"/>
          <w:color w:val="auto"/>
          <w:sz w:val="24"/>
          <w:lang w:eastAsia="zh-CN"/>
        </w:rPr>
        <w:t>）</w:t>
      </w:r>
      <w:r>
        <w:rPr>
          <w:rFonts w:hint="eastAsia"/>
          <w:color w:val="auto"/>
          <w:sz w:val="24"/>
        </w:rPr>
        <w:t>在运营期间，必须保证医疗污水的达标排放（污水处理量不能超出设计规模，进水水质不能超出设计限值），医疗污水必须排放到现有排污口。</w:t>
      </w:r>
    </w:p>
    <w:p w14:paraId="77DE93B8">
      <w:pPr>
        <w:spacing w:line="360" w:lineRule="auto"/>
        <w:ind w:firstLine="240" w:firstLineChars="100"/>
        <w:rPr>
          <w:rFonts w:hint="eastAsia"/>
          <w:color w:val="auto"/>
          <w:sz w:val="24"/>
        </w:rPr>
      </w:pPr>
      <w:r>
        <w:rPr>
          <w:rFonts w:hint="eastAsia"/>
          <w:color w:val="auto"/>
          <w:sz w:val="24"/>
          <w:lang w:eastAsia="zh-CN"/>
        </w:rPr>
        <w:t>（</w:t>
      </w:r>
      <w:r>
        <w:rPr>
          <w:rFonts w:hint="eastAsia"/>
          <w:color w:val="auto"/>
          <w:sz w:val="24"/>
          <w:lang w:val="en-US" w:eastAsia="zh-CN"/>
        </w:rPr>
        <w:t>4</w:t>
      </w:r>
      <w:r>
        <w:rPr>
          <w:rFonts w:hint="eastAsia"/>
          <w:color w:val="auto"/>
          <w:sz w:val="24"/>
          <w:lang w:eastAsia="zh-CN"/>
        </w:rPr>
        <w:t>）</w:t>
      </w:r>
      <w:r>
        <w:rPr>
          <w:rFonts w:hint="eastAsia"/>
          <w:color w:val="auto"/>
          <w:sz w:val="24"/>
        </w:rPr>
        <w:t>必须按照污水规范要求操作，如因操作失误使污水处理站出现不合格项，造成的损失由运营方承担全部责任。如因操作失误导致污水处理不达标，或造成重大污染事故，造成相关部门罚款，由运营方负责承担全部责任和相关罚款。</w:t>
      </w:r>
    </w:p>
    <w:p w14:paraId="72C298BA">
      <w:pPr>
        <w:spacing w:line="360" w:lineRule="auto"/>
        <w:ind w:firstLine="240" w:firstLineChars="100"/>
        <w:rPr>
          <w:rFonts w:hint="eastAsia"/>
          <w:color w:val="auto"/>
          <w:sz w:val="24"/>
        </w:rPr>
      </w:pPr>
      <w:r>
        <w:rPr>
          <w:rFonts w:hint="eastAsia"/>
          <w:color w:val="auto"/>
          <w:sz w:val="24"/>
          <w:lang w:eastAsia="zh-CN"/>
        </w:rPr>
        <w:t>（</w:t>
      </w:r>
      <w:r>
        <w:rPr>
          <w:rFonts w:hint="eastAsia"/>
          <w:color w:val="auto"/>
          <w:sz w:val="24"/>
          <w:lang w:val="en-US" w:eastAsia="zh-CN"/>
        </w:rPr>
        <w:t>5</w:t>
      </w:r>
      <w:r>
        <w:rPr>
          <w:rFonts w:hint="eastAsia"/>
          <w:color w:val="auto"/>
          <w:sz w:val="24"/>
          <w:lang w:eastAsia="zh-CN"/>
        </w:rPr>
        <w:t>）</w:t>
      </w:r>
      <w:r>
        <w:rPr>
          <w:rFonts w:hint="eastAsia"/>
          <w:color w:val="auto"/>
          <w:sz w:val="24"/>
        </w:rPr>
        <w:t>运营方在运营期间，必须严格按污水处理站设备操作规程、安全操作规程进行操作，确保污水处理达标排放，并保证人身安全。如果在合同期内发生安全事故，责任完全由运营方负责。</w:t>
      </w:r>
    </w:p>
    <w:p w14:paraId="249D6129">
      <w:pPr>
        <w:spacing w:line="360" w:lineRule="auto"/>
        <w:ind w:firstLine="240" w:firstLineChars="100"/>
        <w:rPr>
          <w:rFonts w:hint="eastAsia"/>
          <w:color w:val="auto"/>
          <w:sz w:val="24"/>
        </w:rPr>
      </w:pPr>
      <w:r>
        <w:rPr>
          <w:rFonts w:hint="eastAsia"/>
          <w:color w:val="auto"/>
          <w:sz w:val="24"/>
          <w:lang w:eastAsia="zh-CN"/>
        </w:rPr>
        <w:t>（</w:t>
      </w:r>
      <w:r>
        <w:rPr>
          <w:rFonts w:hint="eastAsia"/>
          <w:color w:val="auto"/>
          <w:sz w:val="24"/>
          <w:lang w:val="en-US" w:eastAsia="zh-CN"/>
        </w:rPr>
        <w:t>6</w:t>
      </w:r>
      <w:r>
        <w:rPr>
          <w:rFonts w:hint="eastAsia"/>
          <w:color w:val="auto"/>
          <w:sz w:val="24"/>
          <w:lang w:eastAsia="zh-CN"/>
        </w:rPr>
        <w:t>）</w:t>
      </w:r>
      <w:r>
        <w:rPr>
          <w:rFonts w:hint="eastAsia"/>
          <w:color w:val="auto"/>
          <w:sz w:val="24"/>
        </w:rPr>
        <w:t>污水处理站的运行日志、监测记录、维修记录、污水排放记录表等必须由运营方详实纪录并妥善保存，在解除合同之后，完整移交给院方。在运营期内，运营方有义务配合做好上级部门的监督检查工作，并提供相关材料。</w:t>
      </w:r>
    </w:p>
    <w:p w14:paraId="32803ACA">
      <w:pPr>
        <w:spacing w:line="360" w:lineRule="auto"/>
        <w:ind w:firstLine="240" w:firstLineChars="100"/>
        <w:rPr>
          <w:rFonts w:hint="eastAsia"/>
          <w:color w:val="auto"/>
          <w:sz w:val="24"/>
        </w:rPr>
      </w:pPr>
      <w:r>
        <w:rPr>
          <w:rFonts w:hint="eastAsia"/>
          <w:color w:val="auto"/>
          <w:sz w:val="24"/>
          <w:lang w:eastAsia="zh-CN"/>
        </w:rPr>
        <w:t>（</w:t>
      </w:r>
      <w:r>
        <w:rPr>
          <w:rFonts w:hint="eastAsia"/>
          <w:color w:val="auto"/>
          <w:sz w:val="24"/>
          <w:lang w:val="en-US" w:eastAsia="zh-CN"/>
        </w:rPr>
        <w:t>7</w:t>
      </w:r>
      <w:r>
        <w:rPr>
          <w:rFonts w:hint="eastAsia"/>
          <w:color w:val="auto"/>
          <w:sz w:val="24"/>
          <w:lang w:eastAsia="zh-CN"/>
        </w:rPr>
        <w:t>）</w:t>
      </w:r>
      <w:r>
        <w:rPr>
          <w:rFonts w:hint="eastAsia"/>
          <w:color w:val="auto"/>
          <w:sz w:val="24"/>
        </w:rPr>
        <w:t>运营方工作人员进入医院的相关证件由院方办理，运营方提供所需材料。运营方工作人员必须遵守医院的各项规章制度，服从院方管理人员的监督。并且要保护好站内的一切公共设施、消防设施及保持周边环境卫生。</w:t>
      </w:r>
    </w:p>
    <w:p w14:paraId="25F55B73">
      <w:pPr>
        <w:spacing w:line="360" w:lineRule="auto"/>
        <w:ind w:firstLine="240" w:firstLineChars="100"/>
        <w:rPr>
          <w:rFonts w:hint="eastAsia"/>
          <w:color w:val="auto"/>
          <w:sz w:val="24"/>
        </w:rPr>
      </w:pPr>
      <w:r>
        <w:rPr>
          <w:rFonts w:hint="eastAsia"/>
          <w:color w:val="auto"/>
          <w:sz w:val="24"/>
          <w:lang w:eastAsia="zh-CN"/>
        </w:rPr>
        <w:t>（</w:t>
      </w:r>
      <w:r>
        <w:rPr>
          <w:rFonts w:hint="eastAsia"/>
          <w:color w:val="auto"/>
          <w:sz w:val="24"/>
          <w:lang w:val="en-US" w:eastAsia="zh-CN"/>
        </w:rPr>
        <w:t>8</w:t>
      </w:r>
      <w:r>
        <w:rPr>
          <w:rFonts w:hint="eastAsia"/>
          <w:color w:val="auto"/>
          <w:sz w:val="24"/>
          <w:lang w:eastAsia="zh-CN"/>
        </w:rPr>
        <w:t>）</w:t>
      </w:r>
      <w:r>
        <w:rPr>
          <w:rFonts w:hint="eastAsia"/>
          <w:color w:val="auto"/>
          <w:sz w:val="24"/>
          <w:lang w:val="en-US" w:eastAsia="zh-CN"/>
        </w:rPr>
        <w:t>严格按照排污许可要求对院区污水进行取样分析，若因运营方未及时取样造成的水样分析填报问题一切责任由运营方负责</w:t>
      </w:r>
      <w:r>
        <w:rPr>
          <w:rFonts w:hint="eastAsia"/>
          <w:color w:val="auto"/>
          <w:sz w:val="24"/>
          <w:lang w:eastAsia="zh-CN"/>
        </w:rPr>
        <w:t>，</w:t>
      </w:r>
      <w:r>
        <w:rPr>
          <w:rFonts w:hint="eastAsia"/>
          <w:color w:val="auto"/>
          <w:sz w:val="24"/>
        </w:rPr>
        <w:t>运营方</w:t>
      </w:r>
      <w:r>
        <w:rPr>
          <w:rFonts w:hint="eastAsia"/>
          <w:color w:val="auto"/>
          <w:sz w:val="24"/>
          <w:lang w:val="en-US" w:eastAsia="zh-CN"/>
        </w:rPr>
        <w:t>按时</w:t>
      </w:r>
      <w:r>
        <w:rPr>
          <w:rFonts w:hint="eastAsia"/>
          <w:color w:val="auto"/>
          <w:sz w:val="24"/>
        </w:rPr>
        <w:t>提供水样分析报告一份给院方存档。</w:t>
      </w:r>
    </w:p>
    <w:p w14:paraId="121FF5EF">
      <w:pPr>
        <w:spacing w:line="360" w:lineRule="auto"/>
        <w:ind w:firstLine="240" w:firstLineChars="100"/>
        <w:rPr>
          <w:rFonts w:hint="eastAsia"/>
          <w:color w:val="auto"/>
          <w:sz w:val="24"/>
        </w:rPr>
      </w:pPr>
      <w:r>
        <w:rPr>
          <w:rFonts w:hint="eastAsia"/>
          <w:color w:val="auto"/>
          <w:sz w:val="24"/>
          <w:lang w:eastAsia="zh-CN"/>
        </w:rPr>
        <w:t>（</w:t>
      </w:r>
      <w:r>
        <w:rPr>
          <w:rFonts w:hint="eastAsia"/>
          <w:color w:val="auto"/>
          <w:sz w:val="24"/>
          <w:lang w:val="en-US" w:eastAsia="zh-CN"/>
        </w:rPr>
        <w:t>9</w:t>
      </w:r>
      <w:r>
        <w:rPr>
          <w:rFonts w:hint="eastAsia"/>
          <w:color w:val="auto"/>
          <w:sz w:val="24"/>
          <w:lang w:eastAsia="zh-CN"/>
        </w:rPr>
        <w:t>）</w:t>
      </w:r>
      <w:r>
        <w:rPr>
          <w:rFonts w:hint="eastAsia"/>
          <w:color w:val="auto"/>
          <w:sz w:val="24"/>
        </w:rPr>
        <w:t>托管后院方人员未经运营方管理人员同意不能操作污水站任何设备和阀门等，否则产生的一切后果由院方全部承担。</w:t>
      </w:r>
    </w:p>
    <w:p w14:paraId="3A1F93A9">
      <w:pPr>
        <w:spacing w:line="360" w:lineRule="auto"/>
        <w:ind w:firstLine="240" w:firstLineChars="100"/>
        <w:rPr>
          <w:rFonts w:hint="eastAsia"/>
          <w:color w:val="auto"/>
          <w:sz w:val="24"/>
          <w:lang w:val="en-US" w:eastAsia="zh-CN"/>
        </w:rPr>
      </w:pPr>
      <w:r>
        <w:rPr>
          <w:rFonts w:hint="eastAsia"/>
          <w:color w:val="auto"/>
          <w:sz w:val="24"/>
          <w:lang w:eastAsia="zh-CN"/>
        </w:rPr>
        <w:t>（</w:t>
      </w:r>
      <w:r>
        <w:rPr>
          <w:rFonts w:hint="eastAsia"/>
          <w:color w:val="auto"/>
          <w:sz w:val="24"/>
          <w:lang w:val="en-US" w:eastAsia="zh-CN"/>
        </w:rPr>
        <w:t>10</w:t>
      </w:r>
      <w:r>
        <w:rPr>
          <w:rFonts w:hint="eastAsia"/>
          <w:color w:val="auto"/>
          <w:sz w:val="24"/>
          <w:lang w:eastAsia="zh-CN"/>
        </w:rPr>
        <w:t>）</w:t>
      </w:r>
      <w:r>
        <w:rPr>
          <w:rFonts w:hint="eastAsia"/>
          <w:color w:val="auto"/>
          <w:sz w:val="24"/>
          <w:lang w:val="en-US" w:eastAsia="zh-CN"/>
        </w:rPr>
        <w:t>运营期间根据排污许可要求需在平台填报数据的供应商应积极配合负责该项工作，包括但不限于数据整理填报，月度、季度及年度相关报告等。</w:t>
      </w:r>
    </w:p>
    <w:p w14:paraId="12C46779">
      <w:pPr>
        <w:spacing w:line="360" w:lineRule="auto"/>
        <w:ind w:firstLine="240" w:firstLineChars="100"/>
        <w:rPr>
          <w:rFonts w:hint="eastAsia"/>
          <w:color w:val="auto"/>
          <w:sz w:val="24"/>
          <w:lang w:val="en-US" w:eastAsia="zh-CN"/>
        </w:rPr>
      </w:pPr>
      <w:r>
        <w:rPr>
          <w:rFonts w:hint="eastAsia"/>
          <w:color w:val="auto"/>
          <w:sz w:val="24"/>
          <w:lang w:val="en-US" w:eastAsia="zh-CN"/>
        </w:rPr>
        <w:t>（11）运营期间对污水处理站产生的格栅渣按环保要求进行清理袋装，污泥池污泥需按照相关要求进行脱水处理并暂存与危险废物暂存间存放。由院方负责与具备合法危废处置资质的第三方公司签订处置合同并组织处理，供应商需配合做好危废的移交、台账对接等相关工作。</w:t>
      </w:r>
    </w:p>
    <w:p w14:paraId="393CF6E6">
      <w:pPr>
        <w:spacing w:line="360" w:lineRule="auto"/>
        <w:ind w:firstLine="240" w:firstLineChars="100"/>
        <w:rPr>
          <w:rFonts w:hint="default"/>
          <w:color w:val="auto"/>
          <w:sz w:val="24"/>
          <w:lang w:val="en-US" w:eastAsia="zh-CN"/>
        </w:rPr>
      </w:pPr>
      <w:r>
        <w:rPr>
          <w:rFonts w:hint="eastAsia"/>
          <w:color w:val="auto"/>
          <w:sz w:val="24"/>
          <w:lang w:val="en-US" w:eastAsia="zh-CN"/>
        </w:rPr>
        <w:t>（12）污水站内的在线监测仪器设备，供应商需进行运营维护管理，包括对现有流量计的校正及记录工作，对余氯的自行检测及记录工作等。</w:t>
      </w:r>
    </w:p>
    <w:p w14:paraId="0D37307B">
      <w:pPr>
        <w:rPr>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67C8DE"/>
    <w:multiLevelType w:val="singleLevel"/>
    <w:tmpl w:val="0067C8DE"/>
    <w:lvl w:ilvl="0" w:tentative="0">
      <w:start w:val="1"/>
      <w:numFmt w:val="chineseCounting"/>
      <w:suff w:val="nothing"/>
      <w:lvlText w:val="%1、"/>
      <w:lvlJc w:val="left"/>
      <w:rPr>
        <w:rFonts w:hint="eastAsia"/>
      </w:rPr>
    </w:lvl>
  </w:abstractNum>
  <w:abstractNum w:abstractNumId="1">
    <w:nsid w:val="729D207F"/>
    <w:multiLevelType w:val="singleLevel"/>
    <w:tmpl w:val="729D207F"/>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EzNmU4MGJkZGQwMmQ4OTVmOWI1ZmJiYWVkMjk5ZGEifQ=="/>
  </w:docVars>
  <w:rsids>
    <w:rsidRoot w:val="09E946A8"/>
    <w:rsid w:val="01F462C4"/>
    <w:rsid w:val="033514A1"/>
    <w:rsid w:val="040B3CB2"/>
    <w:rsid w:val="04223B99"/>
    <w:rsid w:val="04403406"/>
    <w:rsid w:val="07690FED"/>
    <w:rsid w:val="09E946A8"/>
    <w:rsid w:val="0B901D30"/>
    <w:rsid w:val="0EAB7F23"/>
    <w:rsid w:val="0F1C62C0"/>
    <w:rsid w:val="0F4A328D"/>
    <w:rsid w:val="104061A3"/>
    <w:rsid w:val="11A2638C"/>
    <w:rsid w:val="135D115C"/>
    <w:rsid w:val="13893C35"/>
    <w:rsid w:val="14B22B28"/>
    <w:rsid w:val="15F80159"/>
    <w:rsid w:val="16FF02BE"/>
    <w:rsid w:val="171406F0"/>
    <w:rsid w:val="173F1101"/>
    <w:rsid w:val="1B625D7E"/>
    <w:rsid w:val="1FC3573D"/>
    <w:rsid w:val="21537630"/>
    <w:rsid w:val="22474258"/>
    <w:rsid w:val="23DE72DC"/>
    <w:rsid w:val="258C39E7"/>
    <w:rsid w:val="271144FC"/>
    <w:rsid w:val="285A14D2"/>
    <w:rsid w:val="2907571B"/>
    <w:rsid w:val="2AF404FF"/>
    <w:rsid w:val="2C677D8F"/>
    <w:rsid w:val="2D5E35E4"/>
    <w:rsid w:val="2E3B2451"/>
    <w:rsid w:val="2EEF5C2B"/>
    <w:rsid w:val="326E1FED"/>
    <w:rsid w:val="346A2C91"/>
    <w:rsid w:val="346B51EC"/>
    <w:rsid w:val="433613A8"/>
    <w:rsid w:val="43D252D5"/>
    <w:rsid w:val="45871084"/>
    <w:rsid w:val="487E0D9C"/>
    <w:rsid w:val="48EA5F1D"/>
    <w:rsid w:val="53187715"/>
    <w:rsid w:val="538E0D69"/>
    <w:rsid w:val="55074D05"/>
    <w:rsid w:val="5980529C"/>
    <w:rsid w:val="5A160EC8"/>
    <w:rsid w:val="5A5E796F"/>
    <w:rsid w:val="5B0F5830"/>
    <w:rsid w:val="5BBE331C"/>
    <w:rsid w:val="5C043425"/>
    <w:rsid w:val="5C3929A3"/>
    <w:rsid w:val="5E337FF2"/>
    <w:rsid w:val="63F0276A"/>
    <w:rsid w:val="67241800"/>
    <w:rsid w:val="677217C8"/>
    <w:rsid w:val="692073C4"/>
    <w:rsid w:val="69417FC4"/>
    <w:rsid w:val="6A743A7C"/>
    <w:rsid w:val="6A753097"/>
    <w:rsid w:val="6BF92A4A"/>
    <w:rsid w:val="6C1C7996"/>
    <w:rsid w:val="6E9128B9"/>
    <w:rsid w:val="6FED1C5C"/>
    <w:rsid w:val="70C13918"/>
    <w:rsid w:val="726E77AD"/>
    <w:rsid w:val="739B013D"/>
    <w:rsid w:val="7688664F"/>
    <w:rsid w:val="778444C7"/>
    <w:rsid w:val="7908577F"/>
    <w:rsid w:val="7BA83684"/>
    <w:rsid w:val="7BB116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lock Text"/>
    <w:basedOn w:val="1"/>
    <w:qFormat/>
    <w:uiPriority w:val="99"/>
    <w:pPr>
      <w:spacing w:after="120"/>
      <w:ind w:left="1440" w:leftChars="700" w:right="1440" w:rightChars="7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100" w:beforeLines="0" w:beforeAutospacing="1" w:after="100" w:afterLines="0" w:afterAutospacing="1"/>
    </w:pPr>
    <w:rPr>
      <w:rFonts w:ascii="宋体" w:hAnsi="宋体" w:cs="宋体"/>
      <w:sz w:val="24"/>
      <w:szCs w:val="24"/>
    </w:rPr>
  </w:style>
  <w:style w:type="character" w:customStyle="1" w:styleId="8">
    <w:name w:val="p141"/>
    <w:qFormat/>
    <w:uiPriority w:val="0"/>
    <w:rPr>
      <w:sz w:val="21"/>
      <w:szCs w:val="21"/>
    </w:rPr>
  </w:style>
  <w:style w:type="table" w:customStyle="1" w:styleId="9">
    <w:name w:val="Table Normal"/>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宋体" w:hAnsi="宋体" w:eastAsia="宋体" w:cs="宋体"/>
      <w:sz w:val="20"/>
      <w:szCs w:val="20"/>
      <w:lang w:val="en-US" w:eastAsia="en-US" w:bidi="ar-SA"/>
    </w:rPr>
  </w:style>
  <w:style w:type="paragraph" w:customStyle="1" w:styleId="11">
    <w:name w:val="文档正文"/>
    <w:basedOn w:val="1"/>
    <w:qFormat/>
    <w:uiPriority w:val="0"/>
    <w:pPr>
      <w:adjustRightInd w:val="0"/>
      <w:spacing w:after="120" w:line="360" w:lineRule="auto"/>
      <w:ind w:firstLine="480" w:firstLineChars="200"/>
    </w:pPr>
    <w:rPr>
      <w:rFonts w:ascii="华文细黑" w:hAnsi="华文细黑" w:eastAsia="华文细黑"/>
      <w:color w:val="000000"/>
      <w:kern w:val="0"/>
      <w:sz w:val="24"/>
      <w:szCs w:val="20"/>
    </w:rPr>
  </w:style>
  <w:style w:type="character" w:customStyle="1" w:styleId="12">
    <w:name w:val="font41"/>
    <w:basedOn w:val="7"/>
    <w:qFormat/>
    <w:uiPriority w:val="0"/>
    <w:rPr>
      <w:rFonts w:hint="eastAsia" w:ascii="宋体" w:hAnsi="宋体" w:eastAsia="宋体" w:cs="宋体"/>
      <w:color w:val="FF0000"/>
      <w:sz w:val="22"/>
      <w:szCs w:val="22"/>
      <w:u w:val="none"/>
    </w:rPr>
  </w:style>
  <w:style w:type="character" w:customStyle="1" w:styleId="13">
    <w:name w:val="font21"/>
    <w:basedOn w:val="7"/>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2308</Words>
  <Characters>2387</Characters>
  <Lines>0</Lines>
  <Paragraphs>0</Paragraphs>
  <TotalTime>42</TotalTime>
  <ScaleCrop>false</ScaleCrop>
  <LinksUpToDate>false</LinksUpToDate>
  <CharactersWithSpaces>2387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2024-10-18T01:34:00Z</dcterms:created>
  <dc:creator>小小杨欧尼</dc:creator>
  <cp:lastModifiedBy>wings</cp:lastModifiedBy>
  <dcterms:modified xsi:type="dcterms:W3CDTF">2026-03-02T06:34:49Z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566794FA94854EB8BEADCF8CAAA4DB13_13</vt:lpwstr>
  </property>
  <property fmtid="{D5CDD505-2E9C-101B-9397-08002B2CF9AE}" pid="4" name="KSOTemplateDocerSaveRecord">
    <vt:lpwstr>eyJoZGlkIjoiOTllZGQyOTQ3YjZhN2Q1NmQ4NzFhMjJmMDhjNmE5ODEiLCJ1c2VySWQiOiIyNTgwMzEzNzIifQ==</vt:lpwstr>
  </property>
</Properties>
</file>