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3B32E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马鞍山院区房屋安全鉴定需求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表</w:t>
      </w:r>
      <w:bookmarkStart w:id="0" w:name="_GoBack"/>
      <w:bookmarkEnd w:id="0"/>
    </w:p>
    <w:p w14:paraId="58645C4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</w:p>
    <w:p w14:paraId="4C87F76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一、鉴定依据与适用范围</w:t>
      </w:r>
    </w:p>
    <w:p w14:paraId="5928456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（一）强制规范</w:t>
      </w:r>
    </w:p>
    <w:p w14:paraId="22DB3D9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严格遵循《既有建筑鉴定与加固通用规范》（GB 55021-2021）、《民用建筑可靠性鉴定标准》（GB 50292-2015）、《建筑抗震鉴定标准》（GB 50023）、《危险房屋鉴定标准》（JGJ 125-2016）等强制性国家标准，所有条文必须严格执行。</w:t>
      </w:r>
    </w:p>
    <w:p w14:paraId="27528FD8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（二）适用范围</w:t>
      </w:r>
    </w:p>
    <w:p w14:paraId="187518F3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马鞍山院区需继续使用、改造或排查安全隐患的各类房屋（含住宅、公共建筑、工业附属建筑），涵盖砖混、砖木、框架等各类结构形式。因建成年代久远，若存在设计图纸缺失、技术资料不全等情况，需按“现场实测为主、史料佐证为辅”原则开展鉴定，不得因资料缺失降低鉴定标准。</w:t>
      </w:r>
    </w:p>
    <w:p w14:paraId="60735BC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二、鉴定机构与人员资质要求</w:t>
      </w:r>
    </w:p>
    <w:p w14:paraId="1A5AA6C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（一）鉴定机构资质要求</w:t>
      </w:r>
    </w:p>
    <w:p w14:paraId="03B62B0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鉴定机构必须具备以下任一合法资质：</w:t>
      </w:r>
    </w:p>
    <w:p w14:paraId="1DDFDAA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1.具有建筑工程专业相应等级的勘察、设计资质单位；</w:t>
      </w:r>
    </w:p>
    <w:p w14:paraId="7951D0A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2.同时持有地基基础工程检测、相应结构工程检测及见证取样检测资质的建设工程质量检测机构；</w:t>
      </w:r>
    </w:p>
    <w:p w14:paraId="64D549C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3.依据《城市危险房屋管理规定》设立的专职房屋安全鉴定机构。</w:t>
      </w:r>
    </w:p>
    <w:p w14:paraId="2009695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（二）人员资质要求</w:t>
      </w:r>
    </w:p>
    <w:p w14:paraId="3FA42EC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鉴定团队需包含一级注册结构工程师（核心签章人员），涉及地基基础检测的需配备注册岩土工程师；现场检测人员需持有效执业资格证书，且每个鉴定项目参与人数不少于2人；复杂项目可聘请行业专家参与论证。</w:t>
      </w:r>
    </w:p>
    <w:p w14:paraId="27B2F9A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无对应资质的机构、个人出具的鉴定报告无效，不得作为房屋使用、改造的依据。</w:t>
      </w:r>
    </w:p>
    <w:p w14:paraId="19D6BC6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三、鉴定核心流程</w:t>
      </w:r>
    </w:p>
    <w:p w14:paraId="54871BD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（一）前期准备与资料核查</w:t>
      </w:r>
    </w:p>
    <w:p w14:paraId="12DD571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1.收集房屋原始设计图纸、施工档案、历次维修记录、使用功能变更资料等；无原始资料的，需通过现场测绘、结构复核补充基础数据。</w:t>
      </w:r>
    </w:p>
    <w:p w14:paraId="49EB1FC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2.核实房屋使用现状、荷载变化、周边施工影响、灾害损伤史等关键信息。</w:t>
      </w:r>
    </w:p>
    <w:p w14:paraId="5408436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（二）现场调查与检测</w:t>
      </w:r>
    </w:p>
    <w:p w14:paraId="57C9F20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1.场地与地基：勘察场地稳定性，检测地基沉降、不均匀变形情况，通过近位勘察确定岩土性能及承载力，重点核查基础开裂、腐蚀、酥化等损伤。</w:t>
      </w:r>
    </w:p>
    <w:p w14:paraId="3462EAA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2.主体结构：全面检测承重构件（梁、柱、承重墙、楼板）的裂缝宽度（含发展趋势）、变形量、材质强度（混凝土碳化、钢筋锈蚀、砌体强度）、节点连接可靠性；非承重构件重点核查脱落、松动风险。</w:t>
      </w:r>
    </w:p>
    <w:p w14:paraId="142505E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3.抗震性能：按现行抗震设防要求，检测结构整体性、抗震构造措施落实情况，评估抗震承载力是否满足最低安全标准。</w:t>
      </w:r>
    </w:p>
    <w:p w14:paraId="7CBDCEA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4.辅助检测：采用回弹法、超声法等规范方法检测材料强度，对裂缝深度、构件倾斜率（控制标准≤3‰）等关键指标进行量化测量，必要时进行长期监测。</w:t>
      </w:r>
    </w:p>
    <w:p w14:paraId="48DEFF2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（三）结构验算与分析</w:t>
      </w:r>
    </w:p>
    <w:p w14:paraId="548C137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结合现场检测数据，按不低于原建造时规范标准进行承载能力验算，对比现行使用荷载与设计荷载差异，分析结构老化、损伤对安全性能的影响程度。</w:t>
      </w:r>
    </w:p>
    <w:p w14:paraId="504BFCB7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（四）等级评定与报告编制</w:t>
      </w:r>
    </w:p>
    <w:p w14:paraId="30210E05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按《民用建筑可靠性鉴定标准》划分Ⅰ-Ⅳ级可靠性等级，或按《危险房屋鉴定标准》划分A-D级危险等级，明确核心风险点及成因。</w:t>
      </w:r>
    </w:p>
    <w:p w14:paraId="79D9E8C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四、鉴定报告规范要求</w:t>
      </w:r>
    </w:p>
    <w:p w14:paraId="420909D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（一）鉴定报告内容</w:t>
      </w:r>
    </w:p>
    <w:p w14:paraId="42926D7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鉴定报告需包含委托信息、房屋概况（建设年代、结构类型、使用现状）、鉴定依据、检测数据、验算结果、等级评定、处置建议、附件（图纸、照片、检测记录）等核心模块。且经一级注册结构工程师（涉及地基基础需加签注册岩土工程师）签章，加盖机构公章及“房屋安全鉴定专用章”方可生效。</w:t>
      </w:r>
    </w:p>
    <w:p w14:paraId="29404FC0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等级判定说明</w:t>
      </w:r>
    </w:p>
    <w:p w14:paraId="7BCC8709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鉴定报告中需对鉴定等级判定进行说明：</w:t>
      </w:r>
    </w:p>
    <w:p w14:paraId="29CF678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1.Ⅰ级/A级：结构安全，正常使用，常规维护即可。</w:t>
      </w:r>
    </w:p>
    <w:p w14:paraId="5F08600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2.Ⅱ级/B级：局部次要构件损伤，维修后可继续使用，每2-3年复查一次。</w:t>
      </w:r>
    </w:p>
    <w:p w14:paraId="7F8CBE2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3.Ⅲ级/C级：部分主要构件危险，立即停止危险区域使用，并要求进行加固。</w:t>
      </w:r>
    </w:p>
    <w:p w14:paraId="5142D3C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4.Ⅳ级/D级：整体危险，立即疏散人员、停止使用，限期拆除。</w:t>
      </w:r>
    </w:p>
    <w:p w14:paraId="6927836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鉴定机构自出具报告之日起3日内送达委托人，鉴定为C、D级危房的，24小时内书面通知委托人。鉴定机构出具虚假报告的，产生的一切法律责任由鉴定机构承担，并赔偿委托方的一切损失。</w:t>
      </w:r>
    </w:p>
    <w:p w14:paraId="6B7A7F5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</w:p>
    <w:p w14:paraId="4E57274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</w:p>
    <w:p w14:paraId="47605FA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</w:p>
    <w:p w14:paraId="16DD997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 xml:space="preserve">                      </w:t>
      </w:r>
    </w:p>
    <w:p w14:paraId="7E97EFE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仿宋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D9088C6"/>
    <w:multiLevelType w:val="singleLevel"/>
    <w:tmpl w:val="0D9088C6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792D31"/>
    <w:rsid w:val="07AA2823"/>
    <w:rsid w:val="1B2A6673"/>
    <w:rsid w:val="22CC236D"/>
    <w:rsid w:val="49B66AD4"/>
    <w:rsid w:val="4F5C4A3D"/>
    <w:rsid w:val="51DB7440"/>
    <w:rsid w:val="5C1E3040"/>
    <w:rsid w:val="66484D35"/>
    <w:rsid w:val="68165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1460</Words>
  <Characters>1526</Characters>
  <Lines>0</Lines>
  <Paragraphs>0</Paragraphs>
  <TotalTime>26</TotalTime>
  <ScaleCrop>false</ScaleCrop>
  <LinksUpToDate>false</LinksUpToDate>
  <CharactersWithSpaces>1590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2026-02-10T00:38:00Z</dcterms:created>
  <dc:creator>Administrator</dc:creator>
  <cp:lastModifiedBy>wings</cp:lastModifiedBy>
  <cp:lastPrinted>2026-02-11T01:57:00Z</cp:lastPrinted>
  <dcterms:modified xsi:type="dcterms:W3CDTF">2026-03-23T03:03:37Z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eyJoZGlkIjoiOTllZGQyOTQ3YjZhN2Q1NmQ4NzFhMjJmMDhjNmE5ODEiLCJ1c2VySWQiOiIyNTgwMzEzNzIifQ==</vt:lpwstr>
  </property>
  <property fmtid="{D5CDD505-2E9C-101B-9397-08002B2CF9AE}" pid="4" name="ICV">
    <vt:lpwstr>6ED3817A6854443691A0D600EB9C96A8_12</vt:lpwstr>
  </property>
</Properties>
</file>