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Times New Roman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关于结核病科仪器采购项目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关于结核病科仪器采购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tbl>
      <w:tblPr>
        <w:tblW w:w="96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1777"/>
        <w:gridCol w:w="1043"/>
        <w:gridCol w:w="1465"/>
        <w:gridCol w:w="1628"/>
        <w:gridCol w:w="2891"/>
      </w:tblGrid>
      <w:tr w14:paraId="7B454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67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52"/>
                <w:szCs w:val="52"/>
                <w:u w:val="none"/>
                <w:bdr w:val="none" w:color="auto" w:sz="0" w:space="0"/>
                <w:lang w:val="en-US" w:eastAsia="zh-CN" w:bidi="ar"/>
              </w:rPr>
              <w:t>结核病科物资及设备采购清单</w:t>
            </w:r>
          </w:p>
        </w:tc>
      </w:tr>
      <w:tr w14:paraId="5C7B2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7A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C5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8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8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单价限价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41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预算总金额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B1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报价</w:t>
            </w:r>
          </w:p>
        </w:tc>
      </w:tr>
      <w:tr w14:paraId="1BD15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84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F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超声电导仪靶位治疗仪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5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0D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C6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8492C">
            <w:pPr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single"/>
              </w:rPr>
            </w:pPr>
          </w:p>
        </w:tc>
      </w:tr>
      <w:tr w14:paraId="77D6B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6E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3A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医用背心式排痰仪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9F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3B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3B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12800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4DD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057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B7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F4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微波治疗仪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2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F5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6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65D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9D2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E4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955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65F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EC4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FC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32800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1D0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</w:t>
      </w:r>
      <w:bookmarkStart w:id="7" w:name="_GoBack"/>
      <w:bookmarkEnd w:id="7"/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923CEC"/>
    <w:rsid w:val="35D46B3A"/>
    <w:rsid w:val="362F3D70"/>
    <w:rsid w:val="363C648D"/>
    <w:rsid w:val="369E0EF6"/>
    <w:rsid w:val="37064FC3"/>
    <w:rsid w:val="3781234C"/>
    <w:rsid w:val="37CC411E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0381A73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663B55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564</Words>
  <Characters>568</Characters>
  <Lines>0</Lines>
  <Paragraphs>0</Paragraphs>
  <TotalTime>3</TotalTime>
  <ScaleCrop>false</ScaleCrop>
  <LinksUpToDate>false</LinksUpToDate>
  <CharactersWithSpaces>1166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2025-09-16T03:34:35Z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E7C74A8A328648EC8F8A0AB38F486ACF_13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